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7BE50F">
      <w:pPr>
        <w:spacing w:line="360" w:lineRule="auto"/>
        <w:ind w:firstLine="481"/>
        <w:jc w:val="left"/>
        <w:rPr>
          <w:rFonts w:ascii="黑体" w:hAnsi="??" w:eastAsia="黑体" w:cs="??"/>
          <w:b/>
          <w:sz w:val="22"/>
          <w:szCs w:val="20"/>
          <w:highlight w:val="none"/>
          <w:u w:val="single"/>
        </w:rPr>
      </w:pPr>
      <w:r>
        <w:rPr>
          <w:rFonts w:hint="eastAsia" w:ascii="黑体" w:hAnsi="??" w:eastAsia="黑体" w:cs="??"/>
          <w:b/>
          <w:sz w:val="22"/>
          <w:szCs w:val="20"/>
          <w:highlight w:val="none"/>
          <w:u w:val="single"/>
        </w:rPr>
        <w:t>注：本合同仅为合同的参考文本，合同签订双方可根据项目的具体要求进行修订。</w:t>
      </w:r>
    </w:p>
    <w:p w14:paraId="58A71549">
      <w:pPr>
        <w:spacing w:line="360" w:lineRule="auto"/>
        <w:ind w:firstLine="481"/>
        <w:jc w:val="left"/>
        <w:rPr>
          <w:rFonts w:ascii="黑体" w:hAnsi="??" w:eastAsia="黑体" w:cs="??"/>
          <w:b/>
          <w:color w:val="auto"/>
          <w:sz w:val="22"/>
          <w:szCs w:val="20"/>
          <w:highlight w:val="none"/>
        </w:rPr>
      </w:pPr>
    </w:p>
    <w:p w14:paraId="4F222872">
      <w:pPr>
        <w:keepNext w:val="0"/>
        <w:keepLines w:val="0"/>
        <w:jc w:val="center"/>
        <w:outlineLvl w:val="9"/>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（合同参考文本，最终以实际签订为准）</w:t>
      </w:r>
    </w:p>
    <w:p w14:paraId="1375EF78">
      <w:pPr>
        <w:ind w:left="-619" w:leftChars="-295" w:firstLine="405" w:firstLineChars="193"/>
        <w:jc w:val="center"/>
        <w:rPr>
          <w:rFonts w:hint="eastAsia" w:ascii="仿宋" w:hAnsi="仿宋" w:eastAsia="仿宋" w:cs="仿宋"/>
          <w:color w:val="auto"/>
          <w:szCs w:val="21"/>
          <w:highlight w:val="none"/>
        </w:rPr>
      </w:pPr>
    </w:p>
    <w:p w14:paraId="2E7085AB">
      <w:pPr>
        <w:ind w:left="-619" w:leftChars="-295" w:firstLine="465" w:firstLineChars="193"/>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陕西铁路工程职业技术学院</w:t>
      </w:r>
    </w:p>
    <w:p w14:paraId="2DC4B801">
      <w:pPr>
        <w:ind w:left="-619" w:leftChars="-295" w:firstLine="465" w:firstLineChars="193"/>
        <w:jc w:val="center"/>
        <w:rPr>
          <w:rFonts w:hint="eastAsia" w:ascii="仿宋" w:hAnsi="仿宋" w:eastAsia="仿宋" w:cs="仿宋"/>
          <w:b/>
          <w:bCs/>
          <w:color w:val="auto"/>
          <w:sz w:val="24"/>
          <w:szCs w:val="24"/>
          <w:highlight w:val="none"/>
        </w:rPr>
      </w:pPr>
      <w:r>
        <w:rPr>
          <w:rFonts w:hint="eastAsia" w:ascii="仿宋" w:hAnsi="仿宋" w:eastAsia="仿宋" w:cs="仿宋"/>
          <w:b/>
          <w:color w:val="auto"/>
          <w:sz w:val="24"/>
          <w:szCs w:val="24"/>
          <w:highlight w:val="none"/>
        </w:rPr>
        <w:t>2026年度职工补充医疗保险及意外伤害保险服务项目合同（样板）</w:t>
      </w:r>
    </w:p>
    <w:p w14:paraId="6ED3D1C2">
      <w:pPr>
        <w:ind w:left="-619" w:leftChars="-295" w:firstLine="407" w:firstLineChars="193"/>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 xml:space="preserve"> </w:t>
      </w:r>
    </w:p>
    <w:p w14:paraId="4F22DFAF">
      <w:pPr>
        <w:adjustRightInd w:val="0"/>
        <w:snapToGrid w:val="0"/>
        <w:ind w:left="-619" w:leftChars="-295" w:firstLine="422" w:firstLineChars="200"/>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甲方：陕西铁路工程职业技术学院</w:t>
      </w:r>
    </w:p>
    <w:p w14:paraId="07EC1F1C">
      <w:pPr>
        <w:adjustRightInd w:val="0"/>
        <w:snapToGrid w:val="0"/>
        <w:ind w:left="-619" w:leftChars="-295" w:firstLine="422" w:firstLineChars="200"/>
        <w:rPr>
          <w:rFonts w:hint="eastAsia" w:ascii="仿宋" w:hAnsi="仿宋" w:eastAsia="仿宋" w:cs="仿宋"/>
          <w:b/>
          <w:bCs/>
          <w:color w:val="auto"/>
          <w:szCs w:val="21"/>
          <w:highlight w:val="none"/>
          <w:u w:val="single"/>
        </w:rPr>
      </w:pPr>
      <w:r>
        <w:rPr>
          <w:rFonts w:hint="eastAsia" w:ascii="仿宋" w:hAnsi="仿宋" w:eastAsia="仿宋" w:cs="仿宋"/>
          <w:b/>
          <w:bCs/>
          <w:color w:val="auto"/>
          <w:szCs w:val="21"/>
          <w:highlight w:val="none"/>
        </w:rPr>
        <w:t>乙方：</w:t>
      </w:r>
      <w:r>
        <w:rPr>
          <w:rFonts w:hint="eastAsia" w:ascii="仿宋" w:hAnsi="仿宋" w:eastAsia="仿宋" w:cs="仿宋"/>
          <w:b/>
          <w:bCs/>
          <w:color w:val="auto"/>
          <w:szCs w:val="21"/>
          <w:highlight w:val="none"/>
          <w:u w:val="single"/>
        </w:rPr>
        <w:t xml:space="preserve">                                  </w:t>
      </w:r>
    </w:p>
    <w:p w14:paraId="0872232E">
      <w:pPr>
        <w:adjustRightInd w:val="0"/>
        <w:snapToGrid w:val="0"/>
        <w:ind w:left="-619" w:leftChars="-295"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p>
    <w:p w14:paraId="1DBC636B">
      <w:pPr>
        <w:adjustRightInd w:val="0"/>
        <w:snapToGrid w:val="0"/>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根据《中华人民共和国民法典》、《中华人民共和国保险法》、职工补充医疗保险及意外伤害保险服务项目招标文件、中标通知书以及其他相关法律、法规的有关规定，</w:t>
      </w:r>
      <w:r>
        <w:rPr>
          <w:rFonts w:hint="eastAsia" w:ascii="仿宋" w:hAnsi="仿宋" w:eastAsia="仿宋" w:cs="仿宋"/>
          <w:color w:val="auto"/>
          <w:sz w:val="24"/>
          <w:szCs w:val="24"/>
          <w:highlight w:val="none"/>
          <w:u w:val="single"/>
        </w:rPr>
        <w:t>陕西铁路工程职业技术学院</w:t>
      </w:r>
      <w:r>
        <w:rPr>
          <w:rFonts w:hint="eastAsia" w:ascii="仿宋" w:hAnsi="仿宋" w:eastAsia="仿宋" w:cs="仿宋"/>
          <w:color w:val="auto"/>
          <w:sz w:val="24"/>
          <w:szCs w:val="24"/>
          <w:highlight w:val="none"/>
        </w:rPr>
        <w:t>（以下简称甲方）与</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b/>
          <w:bCs/>
          <w:color w:val="auto"/>
          <w:sz w:val="24"/>
          <w:szCs w:val="24"/>
          <w:highlight w:val="none"/>
          <w:u w:val="single"/>
          <w:lang w:val="en-US" w:eastAsia="zh-CN"/>
        </w:rPr>
        <w:t xml:space="preserve">       </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color w:val="auto"/>
          <w:sz w:val="24"/>
          <w:szCs w:val="24"/>
          <w:highlight w:val="none"/>
        </w:rPr>
        <w:t>乙方）达成如下协议。</w:t>
      </w:r>
    </w:p>
    <w:p w14:paraId="5F3ED331">
      <w:pPr>
        <w:adjustRightInd w:val="0"/>
        <w:snapToGrid w:val="0"/>
        <w:ind w:firstLine="482" w:firstLineChars="200"/>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一、合同内容</w:t>
      </w:r>
    </w:p>
    <w:p w14:paraId="0838D80B">
      <w:pPr>
        <w:adjustRightInd w:val="0"/>
        <w:snapToGrid w:val="0"/>
        <w:ind w:firstLine="482" w:firstLineChars="200"/>
        <w:jc w:val="left"/>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1.项目名称：2026年度职工补充医疗保险及意外伤害保险服务项目</w:t>
      </w:r>
    </w:p>
    <w:p w14:paraId="07C4DE4A">
      <w:pPr>
        <w:adjustRightInd w:val="0"/>
        <w:snapToGrid w:val="0"/>
        <w:ind w:firstLine="482" w:firstLineChars="200"/>
        <w:jc w:val="left"/>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2.保险期限：</w:t>
      </w:r>
      <w:r>
        <w:rPr>
          <w:rFonts w:hint="eastAsia" w:ascii="仿宋" w:hAnsi="仿宋" w:eastAsia="仿宋" w:cs="仿宋"/>
          <w:color w:val="auto"/>
          <w:sz w:val="24"/>
          <w:szCs w:val="24"/>
          <w:highlight w:val="none"/>
          <w:u w:val="single"/>
        </w:rPr>
        <w:t>2026年9月1日-2027年8月31日</w:t>
      </w:r>
      <w:r>
        <w:rPr>
          <w:rFonts w:hint="eastAsia" w:ascii="仿宋" w:hAnsi="仿宋" w:eastAsia="仿宋" w:cs="仿宋"/>
          <w:color w:val="auto"/>
          <w:sz w:val="24"/>
          <w:szCs w:val="24"/>
          <w:highlight w:val="none"/>
        </w:rPr>
        <w:t>。发生时间在此期间的就诊、入院、结算及意外事件等案件均为理赔范围，保险服务直到所有理赔服务完成时截止。</w:t>
      </w:r>
    </w:p>
    <w:p w14:paraId="26906A84">
      <w:pPr>
        <w:adjustRightInd w:val="0"/>
        <w:snapToGrid w:val="0"/>
        <w:ind w:firstLine="482" w:firstLineChars="200"/>
        <w:jc w:val="left"/>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3.服务区域：</w:t>
      </w:r>
      <w:r>
        <w:rPr>
          <w:rFonts w:hint="eastAsia" w:ascii="仿宋" w:hAnsi="仿宋" w:eastAsia="仿宋" w:cs="仿宋"/>
          <w:color w:val="auto"/>
          <w:sz w:val="24"/>
          <w:szCs w:val="24"/>
          <w:highlight w:val="none"/>
        </w:rPr>
        <w:t>包括但不限于陕西省（就诊医院为全国范围内社保定点医疗机构）。</w:t>
      </w:r>
    </w:p>
    <w:p w14:paraId="0D53152F">
      <w:pPr>
        <w:adjustRightInd w:val="0"/>
        <w:snapToGrid w:val="0"/>
        <w:ind w:firstLine="482" w:firstLineChars="200"/>
        <w:jc w:val="left"/>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4.被保险人：</w:t>
      </w:r>
      <w:r>
        <w:rPr>
          <w:rFonts w:hint="eastAsia" w:ascii="仿宋" w:hAnsi="仿宋" w:eastAsia="仿宋" w:cs="仿宋"/>
          <w:color w:val="auto"/>
          <w:sz w:val="24"/>
          <w:szCs w:val="24"/>
          <w:highlight w:val="none"/>
        </w:rPr>
        <w:t>甲方在职职工和离退休人员，以甲方最终提供的人员清单为准。</w:t>
      </w:r>
    </w:p>
    <w:p w14:paraId="47606DA3">
      <w:pPr>
        <w:adjustRightInd w:val="0"/>
        <w:snapToGrid w:val="0"/>
        <w:ind w:firstLine="482" w:firstLineChars="200"/>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5.保障内容及赔付标准（详见下表）：</w:t>
      </w:r>
    </w:p>
    <w:tbl>
      <w:tblPr>
        <w:tblStyle w:val="5"/>
        <w:tblW w:w="9129"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2087"/>
        <w:gridCol w:w="3647"/>
        <w:gridCol w:w="3395"/>
      </w:tblGrid>
      <w:tr w14:paraId="7AB23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5" w:hRule="atLeast"/>
        </w:trPr>
        <w:tc>
          <w:tcPr>
            <w:tcW w:w="2087" w:type="dxa"/>
            <w:tcBorders>
              <w:top w:val="single" w:color="auto" w:sz="4" w:space="0"/>
              <w:left w:val="single" w:color="auto" w:sz="4" w:space="0"/>
              <w:bottom w:val="single" w:color="auto" w:sz="4" w:space="0"/>
              <w:right w:val="single" w:color="auto" w:sz="4" w:space="0"/>
            </w:tcBorders>
            <w:vAlign w:val="center"/>
          </w:tcPr>
          <w:p w14:paraId="595ADD94">
            <w:pPr>
              <w:ind w:left="-1"/>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项目</w:t>
            </w:r>
          </w:p>
        </w:tc>
        <w:tc>
          <w:tcPr>
            <w:tcW w:w="3647" w:type="dxa"/>
            <w:tcBorders>
              <w:top w:val="single" w:color="auto" w:sz="4" w:space="0"/>
              <w:left w:val="single" w:color="auto" w:sz="4" w:space="0"/>
              <w:bottom w:val="single" w:color="auto" w:sz="4" w:space="0"/>
              <w:right w:val="single" w:color="auto" w:sz="4" w:space="0"/>
            </w:tcBorders>
            <w:vAlign w:val="center"/>
          </w:tcPr>
          <w:p w14:paraId="0DF36F07">
            <w:pPr>
              <w:ind w:left="-619" w:leftChars="-295" w:firstLine="405" w:firstLineChars="193"/>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保障内容</w:t>
            </w:r>
          </w:p>
        </w:tc>
        <w:tc>
          <w:tcPr>
            <w:tcW w:w="3395" w:type="dxa"/>
            <w:tcBorders>
              <w:top w:val="single" w:color="auto" w:sz="4" w:space="0"/>
              <w:left w:val="single" w:color="auto" w:sz="4" w:space="0"/>
              <w:bottom w:val="single" w:color="auto" w:sz="4" w:space="0"/>
              <w:right w:val="single" w:color="auto" w:sz="4" w:space="0"/>
            </w:tcBorders>
            <w:vAlign w:val="center"/>
          </w:tcPr>
          <w:p w14:paraId="4EF72779">
            <w:pPr>
              <w:ind w:left="-619" w:leftChars="-295" w:firstLine="405" w:firstLineChars="193"/>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赔付标准</w:t>
            </w:r>
          </w:p>
        </w:tc>
      </w:tr>
      <w:tr w14:paraId="3C33E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92" w:hRule="atLeast"/>
        </w:trPr>
        <w:tc>
          <w:tcPr>
            <w:tcW w:w="2087" w:type="dxa"/>
            <w:tcBorders>
              <w:top w:val="single" w:color="auto" w:sz="4" w:space="0"/>
              <w:left w:val="single" w:color="auto" w:sz="4" w:space="0"/>
              <w:bottom w:val="single" w:color="auto" w:sz="4" w:space="0"/>
              <w:right w:val="single" w:color="auto" w:sz="4" w:space="0"/>
            </w:tcBorders>
            <w:vAlign w:val="center"/>
          </w:tcPr>
          <w:p w14:paraId="21AF18F4">
            <w:pPr>
              <w:ind w:left="-1"/>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门诊医疗保险（含既往病）</w:t>
            </w:r>
          </w:p>
        </w:tc>
        <w:tc>
          <w:tcPr>
            <w:tcW w:w="3647" w:type="dxa"/>
            <w:tcBorders>
              <w:top w:val="single" w:color="auto" w:sz="4" w:space="0"/>
              <w:left w:val="single" w:color="auto" w:sz="4" w:space="0"/>
              <w:bottom w:val="single" w:color="auto" w:sz="4" w:space="0"/>
              <w:right w:val="single" w:color="auto" w:sz="4" w:space="0"/>
            </w:tcBorders>
            <w:vAlign w:val="center"/>
          </w:tcPr>
          <w:p w14:paraId="555D0A34">
            <w:pPr>
              <w:ind w:left="-1"/>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包含且不限于：</w:t>
            </w:r>
          </w:p>
          <w:p w14:paraId="6D5D4441">
            <w:pPr>
              <w:ind w:left="-1"/>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普通门诊检查诊断与治疗；</w:t>
            </w:r>
          </w:p>
          <w:p w14:paraId="2E1069E0">
            <w:pPr>
              <w:ind w:left="-1"/>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急诊门诊检查诊断与治疗；</w:t>
            </w:r>
          </w:p>
          <w:p w14:paraId="46BA7E62">
            <w:pPr>
              <w:ind w:left="-1"/>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院前门诊检查诊断与治疗；</w:t>
            </w:r>
          </w:p>
          <w:p w14:paraId="7B8F3E6E">
            <w:pPr>
              <w:ind w:left="-1"/>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住院期间转外门诊检查诊断与治疗；</w:t>
            </w:r>
          </w:p>
          <w:p w14:paraId="415AF114">
            <w:pPr>
              <w:ind w:left="-1"/>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慢病门诊检查诊断与治疗；</w:t>
            </w:r>
          </w:p>
          <w:p w14:paraId="58DF747D">
            <w:pPr>
              <w:ind w:left="-1"/>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特病门诊检查诊断与治疗；</w:t>
            </w:r>
          </w:p>
          <w:p w14:paraId="0F84D2A7">
            <w:pPr>
              <w:ind w:left="-1"/>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传染病门诊检查诊断与治疗。</w:t>
            </w:r>
          </w:p>
        </w:tc>
        <w:tc>
          <w:tcPr>
            <w:tcW w:w="3395" w:type="dxa"/>
            <w:tcBorders>
              <w:top w:val="single" w:color="auto" w:sz="4" w:space="0"/>
              <w:left w:val="single" w:color="auto" w:sz="4" w:space="0"/>
              <w:bottom w:val="single" w:color="auto" w:sz="4" w:space="0"/>
              <w:right w:val="single" w:color="auto" w:sz="4" w:space="0"/>
            </w:tcBorders>
            <w:vAlign w:val="center"/>
          </w:tcPr>
          <w:p w14:paraId="75921214">
            <w:pPr>
              <w:rPr>
                <w:rFonts w:hint="eastAsia" w:ascii="仿宋" w:hAnsi="仿宋" w:eastAsia="仿宋" w:cs="仿宋"/>
                <w:color w:val="auto"/>
                <w:szCs w:val="21"/>
                <w:highlight w:val="none"/>
              </w:rPr>
            </w:pPr>
            <w:r>
              <w:rPr>
                <w:rFonts w:hint="eastAsia" w:ascii="仿宋" w:hAnsi="仿宋" w:eastAsia="仿宋" w:cs="仿宋"/>
                <w:color w:val="auto"/>
                <w:szCs w:val="21"/>
                <w:highlight w:val="none"/>
              </w:rPr>
              <w:t>经社保报销者免赔额0 元，赔付比例95%。</w:t>
            </w:r>
          </w:p>
          <w:p w14:paraId="7FCC790E">
            <w:pPr>
              <w:rPr>
                <w:rFonts w:hint="eastAsia" w:ascii="仿宋" w:hAnsi="仿宋" w:eastAsia="仿宋" w:cs="仿宋"/>
                <w:color w:val="auto"/>
                <w:szCs w:val="21"/>
                <w:highlight w:val="none"/>
              </w:rPr>
            </w:pPr>
            <w:r>
              <w:rPr>
                <w:rFonts w:hint="eastAsia" w:ascii="仿宋" w:hAnsi="仿宋" w:eastAsia="仿宋" w:cs="仿宋"/>
                <w:color w:val="auto"/>
                <w:szCs w:val="21"/>
                <w:highlight w:val="none"/>
              </w:rPr>
              <w:t>未经社保报销者免赔额免赔额0 元，</w:t>
            </w:r>
          </w:p>
          <w:p w14:paraId="624D0E96">
            <w:pPr>
              <w:rPr>
                <w:rFonts w:hint="eastAsia" w:ascii="仿宋" w:hAnsi="仿宋" w:eastAsia="仿宋" w:cs="仿宋"/>
                <w:color w:val="auto"/>
                <w:szCs w:val="21"/>
                <w:highlight w:val="none"/>
              </w:rPr>
            </w:pPr>
            <w:r>
              <w:rPr>
                <w:rFonts w:hint="eastAsia" w:ascii="仿宋" w:hAnsi="仿宋" w:eastAsia="仿宋" w:cs="仿宋"/>
                <w:color w:val="auto"/>
                <w:szCs w:val="21"/>
                <w:highlight w:val="none"/>
              </w:rPr>
              <w:t>赔付比例90%。</w:t>
            </w:r>
          </w:p>
          <w:p w14:paraId="41357E1D">
            <w:pPr>
              <w:ind w:left="17" w:hanging="16" w:hangingChars="8"/>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个人年保额      元。</w:t>
            </w:r>
          </w:p>
        </w:tc>
      </w:tr>
      <w:tr w14:paraId="5ECC7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4" w:hRule="atLeast"/>
        </w:trPr>
        <w:tc>
          <w:tcPr>
            <w:tcW w:w="2087" w:type="dxa"/>
            <w:vMerge w:val="restart"/>
            <w:tcBorders>
              <w:top w:val="nil"/>
              <w:left w:val="single" w:color="auto" w:sz="4" w:space="0"/>
              <w:bottom w:val="single" w:color="auto" w:sz="4" w:space="0"/>
              <w:right w:val="single" w:color="auto" w:sz="4" w:space="0"/>
            </w:tcBorders>
            <w:vAlign w:val="center"/>
          </w:tcPr>
          <w:p w14:paraId="2F4DFDC0">
            <w:pPr>
              <w:ind w:left="-1"/>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住院补充医疗保险（含既往病）</w:t>
            </w:r>
          </w:p>
        </w:tc>
        <w:tc>
          <w:tcPr>
            <w:tcW w:w="3647" w:type="dxa"/>
            <w:tcBorders>
              <w:top w:val="single" w:color="auto" w:sz="4" w:space="0"/>
              <w:left w:val="single" w:color="auto" w:sz="4" w:space="0"/>
              <w:bottom w:val="single" w:color="auto" w:sz="4" w:space="0"/>
              <w:right w:val="single" w:color="auto" w:sz="4" w:space="0"/>
            </w:tcBorders>
            <w:vAlign w:val="center"/>
          </w:tcPr>
          <w:p w14:paraId="5E0C6CCA">
            <w:pPr>
              <w:ind w:left="-1"/>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包含且不限于：住院产生的诊断、护理、床位、检查、治疗、医药等诊疗费用，无免赔额。</w:t>
            </w:r>
          </w:p>
        </w:tc>
        <w:tc>
          <w:tcPr>
            <w:tcW w:w="3395" w:type="dxa"/>
            <w:tcBorders>
              <w:top w:val="single" w:color="auto" w:sz="4" w:space="0"/>
              <w:left w:val="single" w:color="auto" w:sz="4" w:space="0"/>
              <w:bottom w:val="single" w:color="auto" w:sz="4" w:space="0"/>
              <w:right w:val="single" w:color="auto" w:sz="4" w:space="0"/>
            </w:tcBorders>
            <w:vAlign w:val="center"/>
          </w:tcPr>
          <w:p w14:paraId="1DB66A82">
            <w:pPr>
              <w:rPr>
                <w:rFonts w:hint="eastAsia" w:ascii="仿宋" w:hAnsi="仿宋" w:eastAsia="仿宋" w:cs="仿宋"/>
                <w:color w:val="auto"/>
                <w:szCs w:val="21"/>
                <w:highlight w:val="none"/>
              </w:rPr>
            </w:pPr>
            <w:r>
              <w:rPr>
                <w:rFonts w:hint="eastAsia" w:ascii="仿宋" w:hAnsi="仿宋" w:eastAsia="仿宋" w:cs="仿宋"/>
                <w:color w:val="auto"/>
                <w:szCs w:val="21"/>
                <w:highlight w:val="none"/>
              </w:rPr>
              <w:t>经社保报销者免赔额0 元，赔付比例95%。</w:t>
            </w:r>
          </w:p>
          <w:p w14:paraId="7A20D0FE">
            <w:pPr>
              <w:rPr>
                <w:rFonts w:hint="eastAsia" w:ascii="仿宋" w:hAnsi="仿宋" w:eastAsia="仿宋" w:cs="仿宋"/>
                <w:color w:val="auto"/>
                <w:szCs w:val="21"/>
                <w:highlight w:val="none"/>
              </w:rPr>
            </w:pPr>
            <w:r>
              <w:rPr>
                <w:rFonts w:hint="eastAsia" w:ascii="仿宋" w:hAnsi="仿宋" w:eastAsia="仿宋" w:cs="仿宋"/>
                <w:color w:val="auto"/>
                <w:szCs w:val="21"/>
                <w:highlight w:val="none"/>
              </w:rPr>
              <w:t>未经社保报销者免赔额0 元，赔付比例90%。</w:t>
            </w:r>
          </w:p>
          <w:p w14:paraId="57FEA352">
            <w:pPr>
              <w:ind w:left="17" w:right="269" w:rightChars="128" w:hanging="16" w:hangingChars="8"/>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个人年保额   元。</w:t>
            </w:r>
          </w:p>
        </w:tc>
      </w:tr>
      <w:tr w14:paraId="15D86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2087" w:type="dxa"/>
            <w:vMerge w:val="continue"/>
            <w:tcBorders>
              <w:top w:val="nil"/>
              <w:left w:val="single" w:color="auto" w:sz="4" w:space="0"/>
              <w:bottom w:val="single" w:color="auto" w:sz="4" w:space="0"/>
              <w:right w:val="single" w:color="auto" w:sz="4" w:space="0"/>
            </w:tcBorders>
            <w:vAlign w:val="center"/>
          </w:tcPr>
          <w:p w14:paraId="64B73660">
            <w:pPr>
              <w:widowControl/>
              <w:jc w:val="left"/>
              <w:rPr>
                <w:rFonts w:hint="eastAsia" w:ascii="仿宋" w:hAnsi="仿宋" w:eastAsia="仿宋" w:cs="仿宋"/>
                <w:color w:val="auto"/>
                <w:szCs w:val="21"/>
                <w:highlight w:val="none"/>
              </w:rPr>
            </w:pPr>
          </w:p>
        </w:tc>
        <w:tc>
          <w:tcPr>
            <w:tcW w:w="3647" w:type="dxa"/>
            <w:tcBorders>
              <w:top w:val="single" w:color="auto" w:sz="4" w:space="0"/>
              <w:left w:val="single" w:color="auto" w:sz="4" w:space="0"/>
              <w:bottom w:val="single" w:color="auto" w:sz="4" w:space="0"/>
              <w:right w:val="single" w:color="auto" w:sz="4" w:space="0"/>
            </w:tcBorders>
            <w:vAlign w:val="center"/>
          </w:tcPr>
          <w:p w14:paraId="63ADFF94">
            <w:pPr>
              <w:ind w:left="-1"/>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公共高额住院医疗保险责任</w:t>
            </w:r>
          </w:p>
        </w:tc>
        <w:tc>
          <w:tcPr>
            <w:tcW w:w="3395" w:type="dxa"/>
            <w:tcBorders>
              <w:top w:val="single" w:color="auto" w:sz="4" w:space="0"/>
              <w:left w:val="single" w:color="auto" w:sz="4" w:space="0"/>
              <w:bottom w:val="single" w:color="auto" w:sz="4" w:space="0"/>
              <w:right w:val="single" w:color="auto" w:sz="4" w:space="0"/>
            </w:tcBorders>
            <w:vAlign w:val="center"/>
          </w:tcPr>
          <w:p w14:paraId="2532B087">
            <w:pPr>
              <w:ind w:left="17" w:hanging="16" w:hangingChars="8"/>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甲乙类药均无免赔额；</w:t>
            </w:r>
          </w:p>
          <w:p w14:paraId="24AAE3C4">
            <w:pPr>
              <w:ind w:left="17" w:hanging="16" w:hangingChars="8"/>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经社保报销者免赔额0 元，赔付比例95%。</w:t>
            </w:r>
          </w:p>
          <w:p w14:paraId="4AF09CEF">
            <w:pPr>
              <w:ind w:left="17" w:hanging="16" w:hangingChars="8"/>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未经社保报销者免赔额0 元，赔付比例90%</w:t>
            </w:r>
          </w:p>
          <w:p w14:paraId="0BC168A6">
            <w:pPr>
              <w:ind w:left="17" w:hanging="16" w:hangingChars="8"/>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个人年保额    元。</w:t>
            </w:r>
          </w:p>
        </w:tc>
      </w:tr>
      <w:tr w14:paraId="683CD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7" w:hRule="atLeast"/>
        </w:trPr>
        <w:tc>
          <w:tcPr>
            <w:tcW w:w="2087" w:type="dxa"/>
            <w:tcBorders>
              <w:top w:val="single" w:color="auto" w:sz="4" w:space="0"/>
              <w:left w:val="single" w:color="auto" w:sz="4" w:space="0"/>
              <w:bottom w:val="single" w:color="auto" w:sz="4" w:space="0"/>
              <w:right w:val="single" w:color="auto" w:sz="4" w:space="0"/>
            </w:tcBorders>
            <w:vAlign w:val="center"/>
          </w:tcPr>
          <w:p w14:paraId="2A76601C">
            <w:pPr>
              <w:ind w:left="-1"/>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住院津贴保险（含既往病）</w:t>
            </w:r>
          </w:p>
        </w:tc>
        <w:tc>
          <w:tcPr>
            <w:tcW w:w="3647" w:type="dxa"/>
            <w:tcBorders>
              <w:top w:val="single" w:color="auto" w:sz="4" w:space="0"/>
              <w:left w:val="single" w:color="auto" w:sz="4" w:space="0"/>
              <w:bottom w:val="single" w:color="auto" w:sz="4" w:space="0"/>
              <w:right w:val="single" w:color="auto" w:sz="4" w:space="0"/>
            </w:tcBorders>
            <w:vAlign w:val="center"/>
          </w:tcPr>
          <w:p w14:paraId="1A51ED96">
            <w:pPr>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包含且不限于：因疾病住院；因意外伤害住院；因重症监护住院等情形。</w:t>
            </w:r>
          </w:p>
        </w:tc>
        <w:tc>
          <w:tcPr>
            <w:tcW w:w="3395" w:type="dxa"/>
            <w:tcBorders>
              <w:top w:val="single" w:color="auto" w:sz="4" w:space="0"/>
              <w:left w:val="single" w:color="auto" w:sz="4" w:space="0"/>
              <w:bottom w:val="single" w:color="auto" w:sz="4" w:space="0"/>
              <w:right w:val="single" w:color="auto" w:sz="4" w:space="0"/>
            </w:tcBorders>
            <w:vAlign w:val="center"/>
          </w:tcPr>
          <w:p w14:paraId="54145E0C">
            <w:pPr>
              <w:ind w:left="17" w:hanging="16" w:hangingChars="8"/>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无免赔天数</w:t>
            </w:r>
          </w:p>
          <w:p w14:paraId="2C68C1EF">
            <w:pPr>
              <w:ind w:left="17" w:hanging="16" w:hangingChars="8"/>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每日住院津贴200 元；</w:t>
            </w:r>
          </w:p>
          <w:p w14:paraId="49E4C3EB">
            <w:pPr>
              <w:ind w:left="17" w:hanging="16" w:hangingChars="8"/>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累计最高给付    天</w:t>
            </w:r>
          </w:p>
        </w:tc>
      </w:tr>
      <w:tr w14:paraId="721B9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0" w:hRule="atLeast"/>
        </w:trPr>
        <w:tc>
          <w:tcPr>
            <w:tcW w:w="2087" w:type="dxa"/>
            <w:tcBorders>
              <w:top w:val="single" w:color="auto" w:sz="4" w:space="0"/>
              <w:left w:val="single" w:color="auto" w:sz="4" w:space="0"/>
              <w:bottom w:val="single" w:color="auto" w:sz="4" w:space="0"/>
              <w:right w:val="single" w:color="auto" w:sz="4" w:space="0"/>
            </w:tcBorders>
            <w:vAlign w:val="center"/>
          </w:tcPr>
          <w:p w14:paraId="01F324D2">
            <w:pPr>
              <w:ind w:left="-1"/>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意外伤害保险</w:t>
            </w:r>
          </w:p>
        </w:tc>
        <w:tc>
          <w:tcPr>
            <w:tcW w:w="3647" w:type="dxa"/>
            <w:tcBorders>
              <w:top w:val="single" w:color="auto" w:sz="4" w:space="0"/>
              <w:left w:val="single" w:color="auto" w:sz="4" w:space="0"/>
              <w:bottom w:val="single" w:color="auto" w:sz="4" w:space="0"/>
              <w:right w:val="single" w:color="auto" w:sz="4" w:space="0"/>
            </w:tcBorders>
            <w:vAlign w:val="center"/>
          </w:tcPr>
          <w:p w14:paraId="67D847C8">
            <w:pPr>
              <w:widowControl/>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包括且不限于:因意外伤害身故、伤残，交通意外伤害等情形的伤害保险</w:t>
            </w:r>
          </w:p>
        </w:tc>
        <w:tc>
          <w:tcPr>
            <w:tcW w:w="3395" w:type="dxa"/>
            <w:tcBorders>
              <w:top w:val="single" w:color="auto" w:sz="4" w:space="0"/>
              <w:left w:val="single" w:color="auto" w:sz="4" w:space="0"/>
              <w:bottom w:val="single" w:color="auto" w:sz="4" w:space="0"/>
              <w:right w:val="single" w:color="auto" w:sz="4" w:space="0"/>
            </w:tcBorders>
            <w:vAlign w:val="center"/>
          </w:tcPr>
          <w:p w14:paraId="6F46A609">
            <w:pPr>
              <w:ind w:left="17" w:hanging="16" w:hangingChars="8"/>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身故： 一次性赔付50 万元；伤残：按评残等级比例给付；</w:t>
            </w:r>
          </w:p>
          <w:p w14:paraId="045CAB13">
            <w:pPr>
              <w:ind w:left="17" w:hanging="16" w:hangingChars="8"/>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个人年保额      元。</w:t>
            </w:r>
          </w:p>
        </w:tc>
      </w:tr>
    </w:tbl>
    <w:p w14:paraId="27B61A81">
      <w:pPr>
        <w:adjustRightInd w:val="0"/>
        <w:snapToGrid w:val="0"/>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6.保险内容及细则</w:t>
      </w:r>
    </w:p>
    <w:p w14:paraId="10237CBD">
      <w:pPr>
        <w:adjustRightInd w:val="0"/>
        <w:snapToGrid w:val="0"/>
        <w:ind w:left="-619" w:leftChars="-295"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门诊医疗保险：含既往症；包含且不限于普通门诊、急诊、院前、住院期间转外等情形的检查诊断与治疗，包含慢特病门诊保险；门诊医保范围内的检查诊断与治疗费无免赔额，门诊所使用的医保范围内甲、乙类药物费用均无免赔额。</w:t>
      </w:r>
    </w:p>
    <w:p w14:paraId="3C752924">
      <w:pPr>
        <w:adjustRightInd w:val="0"/>
        <w:snapToGrid w:val="0"/>
        <w:ind w:left="-619" w:leftChars="-295"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（2）住院补充医疗保险：含既往病；包含且不限于住院产生的诊断、护理、床位、检查、治疗、医药等诊疗费用，医保范围内的检查诊断与治疗费无免赔额，所使用的医保范围内甲、乙类药物费用均无免赔额。</w:t>
      </w:r>
    </w:p>
    <w:p w14:paraId="75B812AE">
      <w:pPr>
        <w:adjustRightInd w:val="0"/>
        <w:snapToGrid w:val="0"/>
        <w:ind w:left="-619" w:leftChars="-295"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（3）住院津贴保险：含既往病，包含且不限于：因疾病住院就诊、因意外伤害住院就诊、因重症监护住院等情形，无免赔天数）。</w:t>
      </w:r>
    </w:p>
    <w:p w14:paraId="31B19DCA">
      <w:pPr>
        <w:adjustRightInd w:val="0"/>
        <w:snapToGrid w:val="0"/>
        <w:ind w:left="-619" w:leftChars="-295"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（4）意外伤害保险：包括且不限于：因意外伤害导致的身故、伤残；因交通等意外伤害导致的身故、伤残。</w:t>
      </w:r>
    </w:p>
    <w:p w14:paraId="05FF1C89">
      <w:pPr>
        <w:adjustRightInd w:val="0"/>
        <w:snapToGrid w:val="0"/>
        <w:ind w:left="-619" w:leftChars="-295" w:firstLine="482" w:firstLineChars="200"/>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7.投保及赔付要求</w:t>
      </w:r>
    </w:p>
    <w:p w14:paraId="26F6788E">
      <w:pPr>
        <w:adjustRightInd w:val="0"/>
        <w:snapToGrid w:val="0"/>
        <w:ind w:left="-619" w:leftChars="-295" w:firstLine="480" w:firstLineChars="200"/>
        <w:jc w:val="left"/>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t>（1）凡符合国家医保报销政策的疾病之门诊、住院治疗均在承保范围。甲类、乙类药物均无免赔额。</w:t>
      </w:r>
    </w:p>
    <w:p w14:paraId="587BAFAF">
      <w:pPr>
        <w:adjustRightInd w:val="0"/>
        <w:snapToGrid w:val="0"/>
        <w:ind w:left="-619" w:leftChars="-295" w:firstLine="480" w:firstLineChars="200"/>
        <w:jc w:val="left"/>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t>（2）被保险人在全国范围内医保定点医疗机构就医、在全国范围内发生的意外事故的案件均为保险理赔范围。</w:t>
      </w:r>
    </w:p>
    <w:p w14:paraId="1C0FAD16">
      <w:pPr>
        <w:adjustRightInd w:val="0"/>
        <w:snapToGrid w:val="0"/>
        <w:ind w:left="-619" w:leftChars="-295"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（3）投保方不提供被保险人体检报告和健康告知。</w:t>
      </w:r>
    </w:p>
    <w:p w14:paraId="206FD6AC">
      <w:pPr>
        <w:adjustRightInd w:val="0"/>
        <w:snapToGrid w:val="0"/>
        <w:ind w:left="-619" w:leftChars="-295"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（4）提供线上理赔受理方式。</w:t>
      </w:r>
    </w:p>
    <w:p w14:paraId="7D8B485E">
      <w:pPr>
        <w:adjustRightInd w:val="0"/>
        <w:snapToGrid w:val="0"/>
        <w:ind w:left="-619" w:leftChars="-295"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（5）简化理赔程序，供应方不得设置理赔资料清单外的资料拒赔或恶意提高赔付门槛。</w:t>
      </w:r>
    </w:p>
    <w:p w14:paraId="63642DB7">
      <w:pPr>
        <w:adjustRightInd w:val="0"/>
        <w:snapToGrid w:val="0"/>
        <w:ind w:left="-619" w:leftChars="-295" w:firstLine="482" w:firstLineChars="200"/>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8.批改</w:t>
      </w:r>
    </w:p>
    <w:p w14:paraId="153AB128">
      <w:pPr>
        <w:adjustRightInd w:val="0"/>
        <w:snapToGrid w:val="0"/>
        <w:ind w:left="-619" w:leftChars="-295"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出单后增加被保险人保期与保费收取方式：本协议生效后，经甲方申请乙方同意的新增加人员（如新入职的正式人员、人事关系转为正式职工的人员等，具体以人事处提供的名单为准）均可作为被保险人参加本保险。</w:t>
      </w:r>
    </w:p>
    <w:p w14:paraId="07AAFFAF">
      <w:pPr>
        <w:adjustRightInd w:val="0"/>
        <w:snapToGrid w:val="0"/>
        <w:ind w:left="-619" w:leftChars="-295"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（2）保期：批改生效日期为新增加被保险人的保险起期，截止日以发放通知为准。</w:t>
      </w:r>
    </w:p>
    <w:p w14:paraId="461FA03C">
      <w:pPr>
        <w:adjustRightInd w:val="0"/>
        <w:snapToGrid w:val="0"/>
        <w:ind w:left="-619" w:leftChars="-295"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（3）保费：保险期间内新增/减少人员保费=中标单价/365天*实际参保天数或具体金额以乙方系统核算为准。</w:t>
      </w:r>
    </w:p>
    <w:p w14:paraId="4652F876">
      <w:pPr>
        <w:adjustRightInd w:val="0"/>
        <w:snapToGrid w:val="0"/>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二、交付内容</w:t>
      </w:r>
    </w:p>
    <w:p w14:paraId="78129876">
      <w:pPr>
        <w:adjustRightInd w:val="0"/>
        <w:snapToGrid w:val="0"/>
        <w:ind w:left="-619" w:leftChars="-295" w:firstLine="482" w:firstLineChars="200"/>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1.交付资料</w:t>
      </w:r>
    </w:p>
    <w:p w14:paraId="7C6FDFA6">
      <w:pPr>
        <w:adjustRightInd w:val="0"/>
        <w:snapToGrid w:val="0"/>
        <w:ind w:left="-619" w:leftChars="-295" w:firstLine="482" w:firstLineChars="200"/>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（1）投保</w:t>
      </w:r>
    </w:p>
    <w:p w14:paraId="6AE3DC03">
      <w:pPr>
        <w:adjustRightInd w:val="0"/>
        <w:snapToGrid w:val="0"/>
        <w:ind w:left="-619" w:leftChars="-295" w:firstLine="482" w:firstLineChars="200"/>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甲方提供资料：</w:t>
      </w:r>
    </w:p>
    <w:p w14:paraId="427C50E8">
      <w:pPr>
        <w:adjustRightInd w:val="0"/>
        <w:snapToGrid w:val="0"/>
        <w:ind w:left="-619" w:leftChars="-295" w:firstLine="480" w:firstLineChars="200"/>
        <w:jc w:val="left"/>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t>单位证件资料及被保险人人员清单信息。被保险人信息包括姓名、身份证号码等。甲方配合乙方提供合规的甲方单位、被保险人资料、填写乙方相关制式投保单证资料，并加盖单位公章。</w:t>
      </w:r>
    </w:p>
    <w:p w14:paraId="3638AAD3">
      <w:pPr>
        <w:adjustRightInd w:val="0"/>
        <w:snapToGrid w:val="0"/>
        <w:ind w:left="-619" w:leftChars="-295" w:firstLine="482" w:firstLineChars="200"/>
        <w:jc w:val="lef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乙方出具资料：</w:t>
      </w:r>
    </w:p>
    <w:p w14:paraId="36FE32A0">
      <w:pPr>
        <w:adjustRightInd w:val="0"/>
        <w:snapToGrid w:val="0"/>
        <w:ind w:left="-619" w:leftChars="-295" w:firstLine="480" w:firstLineChars="200"/>
        <w:jc w:val="left"/>
        <w:rPr>
          <w:rFonts w:hint="eastAsia" w:ascii="仿宋" w:hAnsi="仿宋" w:eastAsia="仿宋" w:cs="仿宋"/>
          <w:b/>
          <w:color w:val="auto"/>
          <w:sz w:val="24"/>
          <w:szCs w:val="24"/>
          <w:highlight w:val="none"/>
        </w:rPr>
      </w:pPr>
      <w:r>
        <w:rPr>
          <w:rFonts w:hint="eastAsia" w:ascii="仿宋" w:hAnsi="仿宋" w:eastAsia="仿宋" w:cs="仿宋"/>
          <w:bCs/>
          <w:color w:val="auto"/>
          <w:sz w:val="24"/>
          <w:szCs w:val="24"/>
          <w:highlight w:val="none"/>
        </w:rPr>
        <w:t>（1）保单（加盖乙方公章</w:t>
      </w:r>
      <w:r>
        <w:rPr>
          <w:rFonts w:hint="eastAsia" w:ascii="仿宋" w:hAnsi="仿宋" w:eastAsia="仿宋" w:cs="仿宋"/>
          <w:color w:val="auto"/>
          <w:sz w:val="24"/>
          <w:szCs w:val="24"/>
          <w:highlight w:val="none"/>
        </w:rPr>
        <w:t>）；</w:t>
      </w:r>
    </w:p>
    <w:p w14:paraId="50E8F306">
      <w:pPr>
        <w:adjustRightInd w:val="0"/>
        <w:snapToGrid w:val="0"/>
        <w:ind w:left="-619" w:leftChars="-295" w:firstLine="480" w:firstLineChars="200"/>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（2）保险费发票；</w:t>
      </w:r>
    </w:p>
    <w:p w14:paraId="13C01149">
      <w:pPr>
        <w:adjustRightInd w:val="0"/>
        <w:snapToGrid w:val="0"/>
        <w:ind w:left="-619" w:leftChars="-295" w:firstLine="480" w:firstLineChars="200"/>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（3）如有批改增加教职工，则提供批单。</w:t>
      </w:r>
    </w:p>
    <w:p w14:paraId="4A63EAC5">
      <w:pPr>
        <w:adjustRightInd w:val="0"/>
        <w:snapToGrid w:val="0"/>
        <w:ind w:left="-619" w:leftChars="-295" w:firstLine="482" w:firstLineChars="200"/>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2.理赔资料清单</w:t>
      </w:r>
    </w:p>
    <w:p w14:paraId="76326BD1">
      <w:pPr>
        <w:adjustRightInd w:val="0"/>
        <w:snapToGrid w:val="0"/>
        <w:ind w:left="-619" w:leftChars="-295" w:firstLine="482" w:firstLineChars="200"/>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甲方投保职工提供资料：</w:t>
      </w:r>
    </w:p>
    <w:p w14:paraId="075F327B">
      <w:pPr>
        <w:adjustRightInd w:val="0"/>
        <w:snapToGrid w:val="0"/>
        <w:ind w:left="-619" w:leftChars="-295"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（1）门诊（含因病或意外伤害）理赔资料清单：</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4635"/>
        <w:gridCol w:w="3041"/>
      </w:tblGrid>
      <w:tr w14:paraId="390B2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9" w:type="dxa"/>
            <w:tcBorders>
              <w:top w:val="single" w:color="auto" w:sz="4" w:space="0"/>
              <w:left w:val="single" w:color="auto" w:sz="4" w:space="0"/>
              <w:bottom w:val="single" w:color="auto" w:sz="4" w:space="0"/>
              <w:right w:val="single" w:color="auto" w:sz="4" w:space="0"/>
            </w:tcBorders>
          </w:tcPr>
          <w:p w14:paraId="6A204E68">
            <w:pPr>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序号</w:t>
            </w:r>
          </w:p>
        </w:tc>
        <w:tc>
          <w:tcPr>
            <w:tcW w:w="4635" w:type="dxa"/>
            <w:tcBorders>
              <w:top w:val="single" w:color="auto" w:sz="4" w:space="0"/>
              <w:left w:val="single" w:color="auto" w:sz="4" w:space="0"/>
              <w:bottom w:val="single" w:color="auto" w:sz="4" w:space="0"/>
              <w:right w:val="single" w:color="auto" w:sz="4" w:space="0"/>
            </w:tcBorders>
          </w:tcPr>
          <w:p w14:paraId="746CCEAF">
            <w:pPr>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门诊理赔资料</w:t>
            </w:r>
          </w:p>
        </w:tc>
        <w:tc>
          <w:tcPr>
            <w:tcW w:w="3041" w:type="dxa"/>
            <w:tcBorders>
              <w:top w:val="single" w:color="auto" w:sz="4" w:space="0"/>
              <w:left w:val="single" w:color="auto" w:sz="4" w:space="0"/>
              <w:bottom w:val="single" w:color="auto" w:sz="4" w:space="0"/>
              <w:right w:val="single" w:color="auto" w:sz="4" w:space="0"/>
            </w:tcBorders>
          </w:tcPr>
          <w:p w14:paraId="0D4206CA">
            <w:pPr>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备注</w:t>
            </w:r>
          </w:p>
        </w:tc>
      </w:tr>
      <w:tr w14:paraId="7E110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9" w:type="dxa"/>
            <w:tcBorders>
              <w:top w:val="single" w:color="auto" w:sz="4" w:space="0"/>
              <w:left w:val="single" w:color="auto" w:sz="4" w:space="0"/>
              <w:bottom w:val="single" w:color="auto" w:sz="4" w:space="0"/>
              <w:right w:val="single" w:color="auto" w:sz="4" w:space="0"/>
            </w:tcBorders>
          </w:tcPr>
          <w:p w14:paraId="7BD3181C">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4635" w:type="dxa"/>
            <w:tcBorders>
              <w:top w:val="single" w:color="auto" w:sz="4" w:space="0"/>
              <w:left w:val="single" w:color="auto" w:sz="4" w:space="0"/>
              <w:bottom w:val="single" w:color="auto" w:sz="4" w:space="0"/>
              <w:right w:val="single" w:color="auto" w:sz="4" w:space="0"/>
            </w:tcBorders>
          </w:tcPr>
          <w:p w14:paraId="6C50D40B">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诊断证明</w:t>
            </w:r>
          </w:p>
        </w:tc>
        <w:tc>
          <w:tcPr>
            <w:tcW w:w="3041" w:type="dxa"/>
            <w:tcBorders>
              <w:top w:val="single" w:color="auto" w:sz="4" w:space="0"/>
              <w:left w:val="single" w:color="auto" w:sz="4" w:space="0"/>
              <w:bottom w:val="single" w:color="auto" w:sz="4" w:space="0"/>
              <w:right w:val="single" w:color="auto" w:sz="4" w:space="0"/>
            </w:tcBorders>
          </w:tcPr>
          <w:p w14:paraId="73E39D28">
            <w:pPr>
              <w:jc w:val="center"/>
              <w:rPr>
                <w:rFonts w:hint="eastAsia" w:ascii="仿宋" w:hAnsi="仿宋" w:eastAsia="仿宋" w:cs="仿宋"/>
                <w:color w:val="auto"/>
                <w:sz w:val="24"/>
                <w:szCs w:val="24"/>
                <w:highlight w:val="none"/>
              </w:rPr>
            </w:pPr>
          </w:p>
        </w:tc>
      </w:tr>
      <w:tr w14:paraId="3C7CF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9" w:type="dxa"/>
            <w:tcBorders>
              <w:top w:val="single" w:color="auto" w:sz="4" w:space="0"/>
              <w:left w:val="single" w:color="auto" w:sz="4" w:space="0"/>
              <w:bottom w:val="single" w:color="auto" w:sz="4" w:space="0"/>
              <w:right w:val="single" w:color="auto" w:sz="4" w:space="0"/>
            </w:tcBorders>
          </w:tcPr>
          <w:p w14:paraId="6F70BCE2">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4635" w:type="dxa"/>
            <w:tcBorders>
              <w:top w:val="single" w:color="auto" w:sz="4" w:space="0"/>
              <w:left w:val="single" w:color="auto" w:sz="4" w:space="0"/>
              <w:bottom w:val="single" w:color="auto" w:sz="4" w:space="0"/>
              <w:right w:val="single" w:color="auto" w:sz="4" w:space="0"/>
            </w:tcBorders>
          </w:tcPr>
          <w:p w14:paraId="530B2D26">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病历</w:t>
            </w:r>
          </w:p>
        </w:tc>
        <w:tc>
          <w:tcPr>
            <w:tcW w:w="3041" w:type="dxa"/>
            <w:tcBorders>
              <w:top w:val="single" w:color="auto" w:sz="4" w:space="0"/>
              <w:left w:val="single" w:color="auto" w:sz="4" w:space="0"/>
              <w:bottom w:val="single" w:color="auto" w:sz="4" w:space="0"/>
              <w:right w:val="single" w:color="auto" w:sz="4" w:space="0"/>
            </w:tcBorders>
          </w:tcPr>
          <w:p w14:paraId="6ECFFF2A">
            <w:pPr>
              <w:jc w:val="center"/>
              <w:rPr>
                <w:rFonts w:hint="eastAsia" w:ascii="仿宋" w:hAnsi="仿宋" w:eastAsia="仿宋" w:cs="仿宋"/>
                <w:color w:val="auto"/>
                <w:sz w:val="24"/>
                <w:szCs w:val="24"/>
                <w:highlight w:val="none"/>
              </w:rPr>
            </w:pPr>
          </w:p>
        </w:tc>
      </w:tr>
      <w:tr w14:paraId="0A4A5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9" w:type="dxa"/>
            <w:tcBorders>
              <w:top w:val="single" w:color="auto" w:sz="4" w:space="0"/>
              <w:left w:val="single" w:color="auto" w:sz="4" w:space="0"/>
              <w:bottom w:val="single" w:color="auto" w:sz="4" w:space="0"/>
              <w:right w:val="single" w:color="auto" w:sz="4" w:space="0"/>
            </w:tcBorders>
          </w:tcPr>
          <w:p w14:paraId="205650B9">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4635" w:type="dxa"/>
            <w:tcBorders>
              <w:top w:val="single" w:color="auto" w:sz="4" w:space="0"/>
              <w:left w:val="single" w:color="auto" w:sz="4" w:space="0"/>
              <w:bottom w:val="single" w:color="auto" w:sz="4" w:space="0"/>
              <w:right w:val="single" w:color="auto" w:sz="4" w:space="0"/>
            </w:tcBorders>
          </w:tcPr>
          <w:p w14:paraId="2A63829B">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医疗发票</w:t>
            </w:r>
          </w:p>
        </w:tc>
        <w:tc>
          <w:tcPr>
            <w:tcW w:w="3041" w:type="dxa"/>
            <w:tcBorders>
              <w:top w:val="single" w:color="auto" w:sz="4" w:space="0"/>
              <w:left w:val="single" w:color="auto" w:sz="4" w:space="0"/>
              <w:bottom w:val="single" w:color="auto" w:sz="4" w:space="0"/>
              <w:right w:val="single" w:color="auto" w:sz="4" w:space="0"/>
            </w:tcBorders>
          </w:tcPr>
          <w:p w14:paraId="46962D07">
            <w:pPr>
              <w:jc w:val="center"/>
              <w:rPr>
                <w:rFonts w:hint="eastAsia" w:ascii="仿宋" w:hAnsi="仿宋" w:eastAsia="仿宋" w:cs="仿宋"/>
                <w:color w:val="auto"/>
                <w:sz w:val="24"/>
                <w:szCs w:val="24"/>
                <w:highlight w:val="none"/>
              </w:rPr>
            </w:pPr>
          </w:p>
        </w:tc>
      </w:tr>
      <w:tr w14:paraId="5B2AB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9" w:type="dxa"/>
            <w:tcBorders>
              <w:top w:val="single" w:color="auto" w:sz="4" w:space="0"/>
              <w:left w:val="single" w:color="auto" w:sz="4" w:space="0"/>
              <w:bottom w:val="single" w:color="auto" w:sz="4" w:space="0"/>
              <w:right w:val="single" w:color="auto" w:sz="4" w:space="0"/>
            </w:tcBorders>
          </w:tcPr>
          <w:p w14:paraId="60512309">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4635" w:type="dxa"/>
            <w:tcBorders>
              <w:top w:val="single" w:color="auto" w:sz="4" w:space="0"/>
              <w:left w:val="single" w:color="auto" w:sz="4" w:space="0"/>
              <w:bottom w:val="single" w:color="auto" w:sz="4" w:space="0"/>
              <w:right w:val="single" w:color="auto" w:sz="4" w:space="0"/>
            </w:tcBorders>
          </w:tcPr>
          <w:p w14:paraId="23B9F8B9">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检查报告单</w:t>
            </w:r>
          </w:p>
        </w:tc>
        <w:tc>
          <w:tcPr>
            <w:tcW w:w="3041" w:type="dxa"/>
            <w:tcBorders>
              <w:top w:val="single" w:color="auto" w:sz="4" w:space="0"/>
              <w:left w:val="single" w:color="auto" w:sz="4" w:space="0"/>
              <w:bottom w:val="single" w:color="auto" w:sz="4" w:space="0"/>
              <w:right w:val="single" w:color="auto" w:sz="4" w:space="0"/>
            </w:tcBorders>
          </w:tcPr>
          <w:p w14:paraId="30878CA0">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如有，请提供</w:t>
            </w:r>
          </w:p>
        </w:tc>
      </w:tr>
      <w:tr w14:paraId="688C0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9" w:type="dxa"/>
            <w:tcBorders>
              <w:top w:val="single" w:color="auto" w:sz="4" w:space="0"/>
              <w:left w:val="single" w:color="auto" w:sz="4" w:space="0"/>
              <w:bottom w:val="single" w:color="auto" w:sz="4" w:space="0"/>
              <w:right w:val="single" w:color="auto" w:sz="4" w:space="0"/>
            </w:tcBorders>
          </w:tcPr>
          <w:p w14:paraId="0FE9C5B1">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4635" w:type="dxa"/>
            <w:tcBorders>
              <w:top w:val="single" w:color="auto" w:sz="4" w:space="0"/>
              <w:left w:val="single" w:color="auto" w:sz="4" w:space="0"/>
              <w:bottom w:val="single" w:color="auto" w:sz="4" w:space="0"/>
              <w:right w:val="single" w:color="auto" w:sz="4" w:space="0"/>
            </w:tcBorders>
          </w:tcPr>
          <w:p w14:paraId="1651C084">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*费用清单（如医疗发票没有列清“药品品名、单价，检验检查的项目名称、单价”请提供此项）</w:t>
            </w:r>
          </w:p>
        </w:tc>
        <w:tc>
          <w:tcPr>
            <w:tcW w:w="3041" w:type="dxa"/>
            <w:tcBorders>
              <w:top w:val="single" w:color="auto" w:sz="4" w:space="0"/>
              <w:left w:val="single" w:color="auto" w:sz="4" w:space="0"/>
              <w:bottom w:val="single" w:color="auto" w:sz="4" w:space="0"/>
              <w:right w:val="single" w:color="auto" w:sz="4" w:space="0"/>
            </w:tcBorders>
          </w:tcPr>
          <w:p w14:paraId="595337AE">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医疗发票显示具体药品品名、单价、检验检查的项目名称、单价可不提供此项</w:t>
            </w:r>
          </w:p>
        </w:tc>
      </w:tr>
      <w:tr w14:paraId="5DD9B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9" w:type="dxa"/>
            <w:tcBorders>
              <w:top w:val="single" w:color="auto" w:sz="4" w:space="0"/>
              <w:left w:val="single" w:color="auto" w:sz="4" w:space="0"/>
              <w:bottom w:val="single" w:color="auto" w:sz="4" w:space="0"/>
              <w:right w:val="single" w:color="auto" w:sz="4" w:space="0"/>
            </w:tcBorders>
          </w:tcPr>
          <w:p w14:paraId="5E5FBDB5">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p>
        </w:tc>
        <w:tc>
          <w:tcPr>
            <w:tcW w:w="4635" w:type="dxa"/>
            <w:tcBorders>
              <w:top w:val="single" w:color="auto" w:sz="4" w:space="0"/>
              <w:left w:val="single" w:color="auto" w:sz="4" w:space="0"/>
              <w:bottom w:val="single" w:color="auto" w:sz="4" w:space="0"/>
              <w:right w:val="single" w:color="auto" w:sz="4" w:space="0"/>
            </w:tcBorders>
          </w:tcPr>
          <w:p w14:paraId="19FDAA9D">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*医保结算单（如经医保报销，提供此项）</w:t>
            </w:r>
          </w:p>
        </w:tc>
        <w:tc>
          <w:tcPr>
            <w:tcW w:w="3041" w:type="dxa"/>
            <w:tcBorders>
              <w:top w:val="single" w:color="auto" w:sz="4" w:space="0"/>
              <w:left w:val="single" w:color="auto" w:sz="4" w:space="0"/>
              <w:bottom w:val="single" w:color="auto" w:sz="4" w:space="0"/>
              <w:right w:val="single" w:color="auto" w:sz="4" w:space="0"/>
            </w:tcBorders>
          </w:tcPr>
          <w:p w14:paraId="3387050E">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未经医保报销的不提供此项。备注：经医保统筹报销后理赔比例较高</w:t>
            </w:r>
          </w:p>
        </w:tc>
      </w:tr>
      <w:tr w14:paraId="5457B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9" w:type="dxa"/>
            <w:tcBorders>
              <w:top w:val="single" w:color="auto" w:sz="4" w:space="0"/>
              <w:left w:val="single" w:color="auto" w:sz="4" w:space="0"/>
              <w:bottom w:val="single" w:color="auto" w:sz="4" w:space="0"/>
              <w:right w:val="single" w:color="auto" w:sz="4" w:space="0"/>
            </w:tcBorders>
          </w:tcPr>
          <w:p w14:paraId="0355AE45">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p>
        </w:tc>
        <w:tc>
          <w:tcPr>
            <w:tcW w:w="4635" w:type="dxa"/>
            <w:tcBorders>
              <w:top w:val="single" w:color="auto" w:sz="4" w:space="0"/>
              <w:left w:val="single" w:color="auto" w:sz="4" w:space="0"/>
              <w:bottom w:val="single" w:color="auto" w:sz="4" w:space="0"/>
              <w:right w:val="single" w:color="auto" w:sz="4" w:space="0"/>
            </w:tcBorders>
          </w:tcPr>
          <w:p w14:paraId="090B3947">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领款人身份证（复印件/照片）</w:t>
            </w:r>
          </w:p>
        </w:tc>
        <w:tc>
          <w:tcPr>
            <w:tcW w:w="3041" w:type="dxa"/>
            <w:tcBorders>
              <w:top w:val="single" w:color="auto" w:sz="4" w:space="0"/>
              <w:left w:val="single" w:color="auto" w:sz="4" w:space="0"/>
              <w:bottom w:val="single" w:color="auto" w:sz="4" w:space="0"/>
              <w:right w:val="single" w:color="auto" w:sz="4" w:space="0"/>
            </w:tcBorders>
          </w:tcPr>
          <w:p w14:paraId="0EA112B7">
            <w:pPr>
              <w:jc w:val="center"/>
              <w:rPr>
                <w:rFonts w:hint="eastAsia" w:ascii="仿宋" w:hAnsi="仿宋" w:eastAsia="仿宋" w:cs="仿宋"/>
                <w:color w:val="auto"/>
                <w:sz w:val="24"/>
                <w:szCs w:val="24"/>
                <w:highlight w:val="none"/>
              </w:rPr>
            </w:pPr>
          </w:p>
        </w:tc>
      </w:tr>
      <w:tr w14:paraId="5BB77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9" w:type="dxa"/>
            <w:tcBorders>
              <w:top w:val="single" w:color="auto" w:sz="4" w:space="0"/>
              <w:left w:val="single" w:color="auto" w:sz="4" w:space="0"/>
              <w:bottom w:val="single" w:color="auto" w:sz="4" w:space="0"/>
              <w:right w:val="single" w:color="auto" w:sz="4" w:space="0"/>
            </w:tcBorders>
          </w:tcPr>
          <w:p w14:paraId="4478B2A6">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p>
        </w:tc>
        <w:tc>
          <w:tcPr>
            <w:tcW w:w="4635" w:type="dxa"/>
            <w:tcBorders>
              <w:top w:val="single" w:color="auto" w:sz="4" w:space="0"/>
              <w:left w:val="single" w:color="auto" w:sz="4" w:space="0"/>
              <w:bottom w:val="single" w:color="auto" w:sz="4" w:space="0"/>
              <w:right w:val="single" w:color="auto" w:sz="4" w:space="0"/>
            </w:tcBorders>
          </w:tcPr>
          <w:p w14:paraId="656A5262">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收款人银行卡（复印件/照片）</w:t>
            </w:r>
          </w:p>
        </w:tc>
        <w:tc>
          <w:tcPr>
            <w:tcW w:w="3041" w:type="dxa"/>
            <w:tcBorders>
              <w:top w:val="single" w:color="auto" w:sz="4" w:space="0"/>
              <w:left w:val="single" w:color="auto" w:sz="4" w:space="0"/>
              <w:bottom w:val="single" w:color="auto" w:sz="4" w:space="0"/>
              <w:right w:val="single" w:color="auto" w:sz="4" w:space="0"/>
            </w:tcBorders>
          </w:tcPr>
          <w:p w14:paraId="3AE76FC4">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建议为四大行储蓄卡照片（线上）或复印件（线下）</w:t>
            </w:r>
          </w:p>
        </w:tc>
      </w:tr>
    </w:tbl>
    <w:p w14:paraId="2856D845">
      <w:pPr>
        <w:ind w:left="-619" w:leftChars="-295" w:firstLine="463" w:firstLineChars="19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p>
    <w:p w14:paraId="26B39174">
      <w:pPr>
        <w:ind w:left="-619" w:leftChars="-295" w:firstLine="463" w:firstLineChars="19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（2）住院（含因病或意外伤害）理赔资料清单：</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8"/>
        <w:gridCol w:w="4769"/>
        <w:gridCol w:w="2891"/>
      </w:tblGrid>
      <w:tr w14:paraId="384F3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68" w:type="dxa"/>
            <w:tcBorders>
              <w:top w:val="single" w:color="auto" w:sz="4" w:space="0"/>
              <w:left w:val="single" w:color="auto" w:sz="4" w:space="0"/>
              <w:bottom w:val="single" w:color="auto" w:sz="4" w:space="0"/>
              <w:right w:val="single" w:color="auto" w:sz="4" w:space="0"/>
            </w:tcBorders>
          </w:tcPr>
          <w:p w14:paraId="51DFE66E">
            <w:pPr>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序号</w:t>
            </w:r>
          </w:p>
        </w:tc>
        <w:tc>
          <w:tcPr>
            <w:tcW w:w="4769" w:type="dxa"/>
            <w:tcBorders>
              <w:top w:val="single" w:color="auto" w:sz="4" w:space="0"/>
              <w:left w:val="single" w:color="auto" w:sz="4" w:space="0"/>
              <w:bottom w:val="single" w:color="auto" w:sz="4" w:space="0"/>
              <w:right w:val="single" w:color="auto" w:sz="4" w:space="0"/>
            </w:tcBorders>
          </w:tcPr>
          <w:p w14:paraId="1597FB41">
            <w:pPr>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理赔资料</w:t>
            </w:r>
          </w:p>
        </w:tc>
        <w:tc>
          <w:tcPr>
            <w:tcW w:w="2891" w:type="dxa"/>
            <w:tcBorders>
              <w:top w:val="single" w:color="auto" w:sz="4" w:space="0"/>
              <w:left w:val="single" w:color="auto" w:sz="4" w:space="0"/>
              <w:bottom w:val="single" w:color="auto" w:sz="4" w:space="0"/>
              <w:right w:val="single" w:color="auto" w:sz="4" w:space="0"/>
            </w:tcBorders>
          </w:tcPr>
          <w:p w14:paraId="028EB8AB">
            <w:pPr>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备注</w:t>
            </w:r>
          </w:p>
        </w:tc>
      </w:tr>
      <w:tr w14:paraId="210FC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Pr>
          <w:p w14:paraId="5261E612">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4769" w:type="dxa"/>
            <w:tcBorders>
              <w:top w:val="single" w:color="auto" w:sz="4" w:space="0"/>
              <w:left w:val="single" w:color="auto" w:sz="4" w:space="0"/>
              <w:bottom w:val="single" w:color="auto" w:sz="4" w:space="0"/>
              <w:right w:val="single" w:color="auto" w:sz="4" w:space="0"/>
            </w:tcBorders>
          </w:tcPr>
          <w:p w14:paraId="10C42D90">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诊断证明</w:t>
            </w:r>
          </w:p>
        </w:tc>
        <w:tc>
          <w:tcPr>
            <w:tcW w:w="2891" w:type="dxa"/>
            <w:tcBorders>
              <w:top w:val="single" w:color="auto" w:sz="4" w:space="0"/>
              <w:left w:val="single" w:color="auto" w:sz="4" w:space="0"/>
              <w:bottom w:val="single" w:color="auto" w:sz="4" w:space="0"/>
              <w:right w:val="single" w:color="auto" w:sz="4" w:space="0"/>
            </w:tcBorders>
          </w:tcPr>
          <w:p w14:paraId="5114ABCD">
            <w:pPr>
              <w:jc w:val="center"/>
              <w:rPr>
                <w:rFonts w:hint="eastAsia" w:ascii="仿宋" w:hAnsi="仿宋" w:eastAsia="仿宋" w:cs="仿宋"/>
                <w:color w:val="auto"/>
                <w:sz w:val="24"/>
                <w:szCs w:val="24"/>
                <w:highlight w:val="none"/>
              </w:rPr>
            </w:pPr>
          </w:p>
        </w:tc>
      </w:tr>
      <w:tr w14:paraId="39907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Pr>
          <w:p w14:paraId="74E0BB66">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4769" w:type="dxa"/>
            <w:tcBorders>
              <w:top w:val="single" w:color="auto" w:sz="4" w:space="0"/>
              <w:left w:val="single" w:color="auto" w:sz="4" w:space="0"/>
              <w:bottom w:val="single" w:color="auto" w:sz="4" w:space="0"/>
              <w:right w:val="single" w:color="auto" w:sz="4" w:space="0"/>
            </w:tcBorders>
          </w:tcPr>
          <w:p w14:paraId="6C823D5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住院病历（含住院费用清单）</w:t>
            </w:r>
          </w:p>
        </w:tc>
        <w:tc>
          <w:tcPr>
            <w:tcW w:w="2891" w:type="dxa"/>
            <w:tcBorders>
              <w:top w:val="single" w:color="auto" w:sz="4" w:space="0"/>
              <w:left w:val="single" w:color="auto" w:sz="4" w:space="0"/>
              <w:bottom w:val="single" w:color="auto" w:sz="4" w:space="0"/>
              <w:right w:val="single" w:color="auto" w:sz="4" w:space="0"/>
            </w:tcBorders>
          </w:tcPr>
          <w:p w14:paraId="5B7884EE">
            <w:pPr>
              <w:jc w:val="center"/>
              <w:rPr>
                <w:rFonts w:hint="eastAsia" w:ascii="仿宋" w:hAnsi="仿宋" w:eastAsia="仿宋" w:cs="仿宋"/>
                <w:color w:val="auto"/>
                <w:sz w:val="24"/>
                <w:szCs w:val="24"/>
                <w:highlight w:val="none"/>
              </w:rPr>
            </w:pPr>
          </w:p>
        </w:tc>
      </w:tr>
      <w:tr w14:paraId="65172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Pr>
          <w:p w14:paraId="75A07C70">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4769" w:type="dxa"/>
            <w:tcBorders>
              <w:top w:val="single" w:color="auto" w:sz="4" w:space="0"/>
              <w:left w:val="single" w:color="auto" w:sz="4" w:space="0"/>
              <w:bottom w:val="single" w:color="auto" w:sz="4" w:space="0"/>
              <w:right w:val="single" w:color="auto" w:sz="4" w:space="0"/>
            </w:tcBorders>
          </w:tcPr>
          <w:p w14:paraId="28D2B9C4">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医疗发票</w:t>
            </w:r>
          </w:p>
        </w:tc>
        <w:tc>
          <w:tcPr>
            <w:tcW w:w="2891" w:type="dxa"/>
            <w:tcBorders>
              <w:top w:val="single" w:color="auto" w:sz="4" w:space="0"/>
              <w:left w:val="single" w:color="auto" w:sz="4" w:space="0"/>
              <w:bottom w:val="single" w:color="auto" w:sz="4" w:space="0"/>
              <w:right w:val="single" w:color="auto" w:sz="4" w:space="0"/>
            </w:tcBorders>
          </w:tcPr>
          <w:p w14:paraId="372D6F64">
            <w:pPr>
              <w:jc w:val="center"/>
              <w:rPr>
                <w:rFonts w:hint="eastAsia" w:ascii="仿宋" w:hAnsi="仿宋" w:eastAsia="仿宋" w:cs="仿宋"/>
                <w:color w:val="auto"/>
                <w:sz w:val="24"/>
                <w:szCs w:val="24"/>
                <w:highlight w:val="none"/>
              </w:rPr>
            </w:pPr>
          </w:p>
        </w:tc>
      </w:tr>
      <w:tr w14:paraId="7CE59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Pr>
          <w:p w14:paraId="44E6848B">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4769" w:type="dxa"/>
            <w:tcBorders>
              <w:top w:val="single" w:color="auto" w:sz="4" w:space="0"/>
              <w:left w:val="single" w:color="auto" w:sz="4" w:space="0"/>
              <w:bottom w:val="single" w:color="auto" w:sz="4" w:space="0"/>
              <w:right w:val="single" w:color="auto" w:sz="4" w:space="0"/>
            </w:tcBorders>
          </w:tcPr>
          <w:p w14:paraId="5A779D77">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医保结算单（如经医保报销，提供此项）</w:t>
            </w:r>
          </w:p>
        </w:tc>
        <w:tc>
          <w:tcPr>
            <w:tcW w:w="2891" w:type="dxa"/>
            <w:tcBorders>
              <w:top w:val="single" w:color="auto" w:sz="4" w:space="0"/>
              <w:left w:val="single" w:color="auto" w:sz="4" w:space="0"/>
              <w:bottom w:val="single" w:color="auto" w:sz="4" w:space="0"/>
              <w:right w:val="single" w:color="auto" w:sz="4" w:space="0"/>
            </w:tcBorders>
          </w:tcPr>
          <w:p w14:paraId="39E0B752">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未经医保报销的不提供此项。备注：经医保统筹报销后理赔比例较高</w:t>
            </w:r>
          </w:p>
        </w:tc>
      </w:tr>
      <w:tr w14:paraId="42176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Pr>
          <w:p w14:paraId="0FD83A1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4769" w:type="dxa"/>
            <w:tcBorders>
              <w:top w:val="single" w:color="auto" w:sz="4" w:space="0"/>
              <w:left w:val="single" w:color="auto" w:sz="4" w:space="0"/>
              <w:bottom w:val="single" w:color="auto" w:sz="4" w:space="0"/>
              <w:right w:val="single" w:color="auto" w:sz="4" w:space="0"/>
            </w:tcBorders>
          </w:tcPr>
          <w:p w14:paraId="7539C1FF">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领款人身份证（复印件/照片）</w:t>
            </w:r>
          </w:p>
        </w:tc>
        <w:tc>
          <w:tcPr>
            <w:tcW w:w="2891" w:type="dxa"/>
            <w:tcBorders>
              <w:top w:val="single" w:color="auto" w:sz="4" w:space="0"/>
              <w:left w:val="single" w:color="auto" w:sz="4" w:space="0"/>
              <w:bottom w:val="single" w:color="auto" w:sz="4" w:space="0"/>
              <w:right w:val="single" w:color="auto" w:sz="4" w:space="0"/>
            </w:tcBorders>
          </w:tcPr>
          <w:p w14:paraId="43D44993">
            <w:pPr>
              <w:jc w:val="center"/>
              <w:rPr>
                <w:rFonts w:hint="eastAsia" w:ascii="仿宋" w:hAnsi="仿宋" w:eastAsia="仿宋" w:cs="仿宋"/>
                <w:color w:val="auto"/>
                <w:sz w:val="24"/>
                <w:szCs w:val="24"/>
                <w:highlight w:val="none"/>
              </w:rPr>
            </w:pPr>
          </w:p>
        </w:tc>
      </w:tr>
      <w:tr w14:paraId="78295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Pr>
          <w:p w14:paraId="16303068">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p>
        </w:tc>
        <w:tc>
          <w:tcPr>
            <w:tcW w:w="4769" w:type="dxa"/>
            <w:tcBorders>
              <w:top w:val="single" w:color="auto" w:sz="4" w:space="0"/>
              <w:left w:val="single" w:color="auto" w:sz="4" w:space="0"/>
              <w:bottom w:val="single" w:color="auto" w:sz="4" w:space="0"/>
              <w:right w:val="single" w:color="auto" w:sz="4" w:space="0"/>
            </w:tcBorders>
          </w:tcPr>
          <w:p w14:paraId="51BDBECD">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收款人银行卡（复印件/照片）</w:t>
            </w:r>
          </w:p>
        </w:tc>
        <w:tc>
          <w:tcPr>
            <w:tcW w:w="2891" w:type="dxa"/>
            <w:tcBorders>
              <w:top w:val="single" w:color="auto" w:sz="4" w:space="0"/>
              <w:left w:val="single" w:color="auto" w:sz="4" w:space="0"/>
              <w:bottom w:val="single" w:color="auto" w:sz="4" w:space="0"/>
              <w:right w:val="single" w:color="auto" w:sz="4" w:space="0"/>
            </w:tcBorders>
          </w:tcPr>
          <w:p w14:paraId="774DA113">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建议为四大行储蓄卡照片（线上）或复印件（线下）</w:t>
            </w:r>
          </w:p>
        </w:tc>
      </w:tr>
    </w:tbl>
    <w:p w14:paraId="651298F8">
      <w:pPr>
        <w:ind w:left="-619" w:leftChars="-295" w:firstLine="463" w:firstLineChars="19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p>
    <w:p w14:paraId="15833CD6">
      <w:pPr>
        <w:ind w:left="-619" w:leftChars="-295" w:firstLine="463" w:firstLineChars="19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（3）残疾（含因病或意外）理赔资料清单：</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8"/>
        <w:gridCol w:w="4769"/>
        <w:gridCol w:w="2976"/>
      </w:tblGrid>
      <w:tr w14:paraId="2A7F7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68" w:type="dxa"/>
            <w:tcBorders>
              <w:top w:val="single" w:color="auto" w:sz="4" w:space="0"/>
              <w:left w:val="single" w:color="auto" w:sz="4" w:space="0"/>
              <w:bottom w:val="single" w:color="auto" w:sz="4" w:space="0"/>
              <w:right w:val="single" w:color="auto" w:sz="4" w:space="0"/>
            </w:tcBorders>
          </w:tcPr>
          <w:p w14:paraId="66C18FF1">
            <w:pPr>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序号</w:t>
            </w:r>
          </w:p>
        </w:tc>
        <w:tc>
          <w:tcPr>
            <w:tcW w:w="4769" w:type="dxa"/>
            <w:tcBorders>
              <w:top w:val="single" w:color="auto" w:sz="4" w:space="0"/>
              <w:left w:val="single" w:color="auto" w:sz="4" w:space="0"/>
              <w:bottom w:val="single" w:color="auto" w:sz="4" w:space="0"/>
              <w:right w:val="single" w:color="auto" w:sz="4" w:space="0"/>
            </w:tcBorders>
          </w:tcPr>
          <w:p w14:paraId="2ABC0537">
            <w:pPr>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理赔资料</w:t>
            </w:r>
          </w:p>
        </w:tc>
        <w:tc>
          <w:tcPr>
            <w:tcW w:w="2976" w:type="dxa"/>
            <w:tcBorders>
              <w:top w:val="single" w:color="auto" w:sz="4" w:space="0"/>
              <w:left w:val="single" w:color="auto" w:sz="4" w:space="0"/>
              <w:bottom w:val="single" w:color="auto" w:sz="4" w:space="0"/>
              <w:right w:val="single" w:color="auto" w:sz="4" w:space="0"/>
            </w:tcBorders>
          </w:tcPr>
          <w:p w14:paraId="0A20E1B4">
            <w:pPr>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备注</w:t>
            </w:r>
          </w:p>
        </w:tc>
      </w:tr>
      <w:tr w14:paraId="1B99C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Pr>
          <w:p w14:paraId="781B1824">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4769" w:type="dxa"/>
            <w:tcBorders>
              <w:top w:val="single" w:color="auto" w:sz="4" w:space="0"/>
              <w:left w:val="single" w:color="auto" w:sz="4" w:space="0"/>
              <w:bottom w:val="single" w:color="auto" w:sz="4" w:space="0"/>
              <w:right w:val="single" w:color="auto" w:sz="4" w:space="0"/>
            </w:tcBorders>
          </w:tcPr>
          <w:p w14:paraId="427A1470">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诊断证明</w:t>
            </w:r>
          </w:p>
        </w:tc>
        <w:tc>
          <w:tcPr>
            <w:tcW w:w="2976" w:type="dxa"/>
            <w:tcBorders>
              <w:top w:val="single" w:color="auto" w:sz="4" w:space="0"/>
              <w:left w:val="single" w:color="auto" w:sz="4" w:space="0"/>
              <w:bottom w:val="single" w:color="auto" w:sz="4" w:space="0"/>
              <w:right w:val="single" w:color="auto" w:sz="4" w:space="0"/>
            </w:tcBorders>
          </w:tcPr>
          <w:p w14:paraId="606EF429">
            <w:pPr>
              <w:jc w:val="center"/>
              <w:rPr>
                <w:rFonts w:hint="eastAsia" w:ascii="仿宋" w:hAnsi="仿宋" w:eastAsia="仿宋" w:cs="仿宋"/>
                <w:color w:val="auto"/>
                <w:sz w:val="24"/>
                <w:szCs w:val="24"/>
                <w:highlight w:val="none"/>
              </w:rPr>
            </w:pPr>
          </w:p>
        </w:tc>
      </w:tr>
      <w:tr w14:paraId="04CDD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Pr>
          <w:p w14:paraId="74E17FF8">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4769" w:type="dxa"/>
            <w:tcBorders>
              <w:top w:val="single" w:color="auto" w:sz="4" w:space="0"/>
              <w:left w:val="single" w:color="auto" w:sz="4" w:space="0"/>
              <w:bottom w:val="single" w:color="auto" w:sz="4" w:space="0"/>
              <w:right w:val="single" w:color="auto" w:sz="4" w:space="0"/>
            </w:tcBorders>
          </w:tcPr>
          <w:p w14:paraId="09F73925">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病历</w:t>
            </w:r>
          </w:p>
        </w:tc>
        <w:tc>
          <w:tcPr>
            <w:tcW w:w="2976" w:type="dxa"/>
            <w:tcBorders>
              <w:top w:val="single" w:color="auto" w:sz="4" w:space="0"/>
              <w:left w:val="single" w:color="auto" w:sz="4" w:space="0"/>
              <w:bottom w:val="single" w:color="auto" w:sz="4" w:space="0"/>
              <w:right w:val="single" w:color="auto" w:sz="4" w:space="0"/>
            </w:tcBorders>
          </w:tcPr>
          <w:p w14:paraId="6C57F138">
            <w:pPr>
              <w:jc w:val="center"/>
              <w:rPr>
                <w:rFonts w:hint="eastAsia" w:ascii="仿宋" w:hAnsi="仿宋" w:eastAsia="仿宋" w:cs="仿宋"/>
                <w:color w:val="auto"/>
                <w:sz w:val="24"/>
                <w:szCs w:val="24"/>
                <w:highlight w:val="none"/>
              </w:rPr>
            </w:pPr>
          </w:p>
        </w:tc>
      </w:tr>
      <w:tr w14:paraId="0EDA9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Pr>
          <w:p w14:paraId="6765AB78">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4769" w:type="dxa"/>
            <w:tcBorders>
              <w:top w:val="single" w:color="auto" w:sz="4" w:space="0"/>
              <w:left w:val="single" w:color="auto" w:sz="4" w:space="0"/>
              <w:bottom w:val="single" w:color="auto" w:sz="4" w:space="0"/>
              <w:right w:val="single" w:color="auto" w:sz="4" w:space="0"/>
            </w:tcBorders>
          </w:tcPr>
          <w:p w14:paraId="42700FA2">
            <w:pPr>
              <w:ind w:left="-619" w:leftChars="-295" w:firstLine="463" w:firstLineChars="19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伤残鉴定报告或证明</w:t>
            </w:r>
          </w:p>
        </w:tc>
        <w:tc>
          <w:tcPr>
            <w:tcW w:w="2976" w:type="dxa"/>
            <w:tcBorders>
              <w:top w:val="single" w:color="auto" w:sz="4" w:space="0"/>
              <w:left w:val="single" w:color="auto" w:sz="4" w:space="0"/>
              <w:bottom w:val="single" w:color="auto" w:sz="4" w:space="0"/>
              <w:right w:val="single" w:color="auto" w:sz="4" w:space="0"/>
            </w:tcBorders>
          </w:tcPr>
          <w:p w14:paraId="6014890D">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指定合规的医疗机构鉴定</w:t>
            </w:r>
          </w:p>
        </w:tc>
      </w:tr>
      <w:tr w14:paraId="17794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Pr>
          <w:p w14:paraId="7206735F">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4769" w:type="dxa"/>
            <w:tcBorders>
              <w:top w:val="single" w:color="auto" w:sz="4" w:space="0"/>
              <w:left w:val="single" w:color="auto" w:sz="4" w:space="0"/>
              <w:bottom w:val="single" w:color="auto" w:sz="4" w:space="0"/>
              <w:right w:val="single" w:color="auto" w:sz="4" w:space="0"/>
            </w:tcBorders>
          </w:tcPr>
          <w:p w14:paraId="7C84E943">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领款人身份证（复印件）</w:t>
            </w:r>
          </w:p>
        </w:tc>
        <w:tc>
          <w:tcPr>
            <w:tcW w:w="2976" w:type="dxa"/>
            <w:tcBorders>
              <w:top w:val="single" w:color="auto" w:sz="4" w:space="0"/>
              <w:left w:val="single" w:color="auto" w:sz="4" w:space="0"/>
              <w:bottom w:val="single" w:color="auto" w:sz="4" w:space="0"/>
              <w:right w:val="single" w:color="auto" w:sz="4" w:space="0"/>
            </w:tcBorders>
          </w:tcPr>
          <w:p w14:paraId="11F5A2F5">
            <w:pPr>
              <w:jc w:val="center"/>
              <w:rPr>
                <w:rFonts w:hint="eastAsia" w:ascii="仿宋" w:hAnsi="仿宋" w:eastAsia="仿宋" w:cs="仿宋"/>
                <w:color w:val="auto"/>
                <w:sz w:val="24"/>
                <w:szCs w:val="24"/>
                <w:highlight w:val="none"/>
              </w:rPr>
            </w:pPr>
          </w:p>
        </w:tc>
      </w:tr>
      <w:tr w14:paraId="09B87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Pr>
          <w:p w14:paraId="23D76240">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4769" w:type="dxa"/>
            <w:tcBorders>
              <w:top w:val="single" w:color="auto" w:sz="4" w:space="0"/>
              <w:left w:val="single" w:color="auto" w:sz="4" w:space="0"/>
              <w:bottom w:val="single" w:color="auto" w:sz="4" w:space="0"/>
              <w:right w:val="single" w:color="auto" w:sz="4" w:space="0"/>
            </w:tcBorders>
          </w:tcPr>
          <w:p w14:paraId="18E10925">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收款人银行卡（复印件）</w:t>
            </w:r>
          </w:p>
        </w:tc>
        <w:tc>
          <w:tcPr>
            <w:tcW w:w="2976" w:type="dxa"/>
            <w:tcBorders>
              <w:top w:val="single" w:color="auto" w:sz="4" w:space="0"/>
              <w:left w:val="single" w:color="auto" w:sz="4" w:space="0"/>
              <w:bottom w:val="single" w:color="auto" w:sz="4" w:space="0"/>
              <w:right w:val="single" w:color="auto" w:sz="4" w:space="0"/>
            </w:tcBorders>
          </w:tcPr>
          <w:p w14:paraId="0C288665">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建议为四大行储蓄卡照片（线上）或复印件（线下）</w:t>
            </w:r>
          </w:p>
        </w:tc>
      </w:tr>
    </w:tbl>
    <w:p w14:paraId="057145C8">
      <w:pPr>
        <w:ind w:left="-619" w:leftChars="-295" w:firstLine="463" w:firstLineChars="19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p>
    <w:p w14:paraId="658EBDE1">
      <w:pPr>
        <w:ind w:left="-619" w:leftChars="-295" w:firstLine="463" w:firstLineChars="19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（4）意外死亡理赔资料清单：</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8"/>
        <w:gridCol w:w="5245"/>
        <w:gridCol w:w="2650"/>
      </w:tblGrid>
      <w:tr w14:paraId="1F7DC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tcBorders>
              <w:top w:val="single" w:color="auto" w:sz="4" w:space="0"/>
              <w:left w:val="single" w:color="auto" w:sz="4" w:space="0"/>
              <w:bottom w:val="single" w:color="auto" w:sz="4" w:space="0"/>
              <w:right w:val="single" w:color="auto" w:sz="4" w:space="0"/>
            </w:tcBorders>
          </w:tcPr>
          <w:p w14:paraId="301751BB">
            <w:pPr>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序号</w:t>
            </w:r>
          </w:p>
        </w:tc>
        <w:tc>
          <w:tcPr>
            <w:tcW w:w="5245" w:type="dxa"/>
            <w:tcBorders>
              <w:top w:val="single" w:color="auto" w:sz="4" w:space="0"/>
              <w:left w:val="single" w:color="auto" w:sz="4" w:space="0"/>
              <w:bottom w:val="single" w:color="auto" w:sz="4" w:space="0"/>
              <w:right w:val="single" w:color="auto" w:sz="4" w:space="0"/>
            </w:tcBorders>
          </w:tcPr>
          <w:p w14:paraId="09A7497B">
            <w:pPr>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理赔资料</w:t>
            </w:r>
          </w:p>
        </w:tc>
        <w:tc>
          <w:tcPr>
            <w:tcW w:w="2650" w:type="dxa"/>
            <w:tcBorders>
              <w:top w:val="single" w:color="auto" w:sz="4" w:space="0"/>
              <w:left w:val="single" w:color="auto" w:sz="4" w:space="0"/>
              <w:bottom w:val="single" w:color="auto" w:sz="4" w:space="0"/>
              <w:right w:val="single" w:color="auto" w:sz="4" w:space="0"/>
            </w:tcBorders>
          </w:tcPr>
          <w:p w14:paraId="71BA9F4A">
            <w:pPr>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备注</w:t>
            </w:r>
          </w:p>
        </w:tc>
      </w:tr>
      <w:tr w14:paraId="1223B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tcBorders>
              <w:top w:val="single" w:color="auto" w:sz="4" w:space="0"/>
              <w:left w:val="single" w:color="auto" w:sz="4" w:space="0"/>
              <w:bottom w:val="single" w:color="auto" w:sz="4" w:space="0"/>
              <w:right w:val="single" w:color="auto" w:sz="4" w:space="0"/>
            </w:tcBorders>
          </w:tcPr>
          <w:p w14:paraId="3880A29F">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5245" w:type="dxa"/>
            <w:tcBorders>
              <w:top w:val="single" w:color="auto" w:sz="4" w:space="0"/>
              <w:left w:val="single" w:color="auto" w:sz="4" w:space="0"/>
              <w:bottom w:val="single" w:color="auto" w:sz="4" w:space="0"/>
              <w:right w:val="single" w:color="auto" w:sz="4" w:space="0"/>
            </w:tcBorders>
          </w:tcPr>
          <w:p w14:paraId="39EB81FB">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死亡证明</w:t>
            </w:r>
          </w:p>
        </w:tc>
        <w:tc>
          <w:tcPr>
            <w:tcW w:w="2650" w:type="dxa"/>
            <w:tcBorders>
              <w:top w:val="single" w:color="auto" w:sz="4" w:space="0"/>
              <w:left w:val="single" w:color="auto" w:sz="4" w:space="0"/>
              <w:bottom w:val="single" w:color="auto" w:sz="4" w:space="0"/>
              <w:right w:val="single" w:color="auto" w:sz="4" w:space="0"/>
            </w:tcBorders>
          </w:tcPr>
          <w:p w14:paraId="1AE65A52">
            <w:pPr>
              <w:jc w:val="center"/>
              <w:rPr>
                <w:rFonts w:hint="eastAsia" w:ascii="仿宋" w:hAnsi="仿宋" w:eastAsia="仿宋" w:cs="仿宋"/>
                <w:color w:val="auto"/>
                <w:sz w:val="24"/>
                <w:szCs w:val="24"/>
                <w:highlight w:val="none"/>
              </w:rPr>
            </w:pPr>
          </w:p>
        </w:tc>
      </w:tr>
      <w:tr w14:paraId="4DEE1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tcBorders>
              <w:top w:val="single" w:color="auto" w:sz="4" w:space="0"/>
              <w:left w:val="single" w:color="auto" w:sz="4" w:space="0"/>
              <w:bottom w:val="single" w:color="auto" w:sz="4" w:space="0"/>
              <w:right w:val="single" w:color="auto" w:sz="4" w:space="0"/>
            </w:tcBorders>
          </w:tcPr>
          <w:p w14:paraId="7E49B266">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5245" w:type="dxa"/>
            <w:tcBorders>
              <w:top w:val="single" w:color="auto" w:sz="4" w:space="0"/>
              <w:left w:val="single" w:color="auto" w:sz="4" w:space="0"/>
              <w:bottom w:val="single" w:color="auto" w:sz="4" w:space="0"/>
              <w:right w:val="single" w:color="auto" w:sz="4" w:space="0"/>
            </w:tcBorders>
          </w:tcPr>
          <w:p w14:paraId="6C4DE0BF">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丧葬证明</w:t>
            </w:r>
          </w:p>
        </w:tc>
        <w:tc>
          <w:tcPr>
            <w:tcW w:w="2650" w:type="dxa"/>
            <w:tcBorders>
              <w:top w:val="single" w:color="auto" w:sz="4" w:space="0"/>
              <w:left w:val="single" w:color="auto" w:sz="4" w:space="0"/>
              <w:bottom w:val="single" w:color="auto" w:sz="4" w:space="0"/>
              <w:right w:val="single" w:color="auto" w:sz="4" w:space="0"/>
            </w:tcBorders>
          </w:tcPr>
          <w:p w14:paraId="02B3FC99">
            <w:pPr>
              <w:jc w:val="center"/>
              <w:rPr>
                <w:rFonts w:hint="eastAsia" w:ascii="仿宋" w:hAnsi="仿宋" w:eastAsia="仿宋" w:cs="仿宋"/>
                <w:color w:val="auto"/>
                <w:sz w:val="24"/>
                <w:szCs w:val="24"/>
                <w:highlight w:val="none"/>
              </w:rPr>
            </w:pPr>
          </w:p>
        </w:tc>
      </w:tr>
      <w:tr w14:paraId="126BD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tcBorders>
              <w:top w:val="single" w:color="auto" w:sz="4" w:space="0"/>
              <w:left w:val="single" w:color="auto" w:sz="4" w:space="0"/>
              <w:bottom w:val="single" w:color="auto" w:sz="4" w:space="0"/>
              <w:right w:val="single" w:color="auto" w:sz="4" w:space="0"/>
            </w:tcBorders>
          </w:tcPr>
          <w:p w14:paraId="428609AE">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5245" w:type="dxa"/>
            <w:tcBorders>
              <w:top w:val="single" w:color="auto" w:sz="4" w:space="0"/>
              <w:left w:val="single" w:color="auto" w:sz="4" w:space="0"/>
              <w:bottom w:val="single" w:color="auto" w:sz="4" w:space="0"/>
              <w:right w:val="single" w:color="auto" w:sz="4" w:space="0"/>
            </w:tcBorders>
          </w:tcPr>
          <w:p w14:paraId="2B2E2A55">
            <w:pPr>
              <w:ind w:left="-619" w:leftChars="-295"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户籍注销证明</w:t>
            </w:r>
          </w:p>
        </w:tc>
        <w:tc>
          <w:tcPr>
            <w:tcW w:w="2650" w:type="dxa"/>
            <w:tcBorders>
              <w:top w:val="single" w:color="auto" w:sz="4" w:space="0"/>
              <w:left w:val="single" w:color="auto" w:sz="4" w:space="0"/>
              <w:bottom w:val="single" w:color="auto" w:sz="4" w:space="0"/>
              <w:right w:val="single" w:color="auto" w:sz="4" w:space="0"/>
            </w:tcBorders>
          </w:tcPr>
          <w:p w14:paraId="251ADBB8">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若是暂未注销可不提供</w:t>
            </w:r>
          </w:p>
        </w:tc>
      </w:tr>
      <w:tr w14:paraId="43682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tcBorders>
              <w:top w:val="single" w:color="auto" w:sz="4" w:space="0"/>
              <w:left w:val="single" w:color="auto" w:sz="4" w:space="0"/>
              <w:bottom w:val="single" w:color="auto" w:sz="4" w:space="0"/>
              <w:right w:val="single" w:color="auto" w:sz="4" w:space="0"/>
            </w:tcBorders>
          </w:tcPr>
          <w:p w14:paraId="4E3118F8">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5245" w:type="dxa"/>
            <w:tcBorders>
              <w:top w:val="single" w:color="auto" w:sz="4" w:space="0"/>
              <w:left w:val="single" w:color="auto" w:sz="4" w:space="0"/>
              <w:bottom w:val="single" w:color="auto" w:sz="4" w:space="0"/>
              <w:right w:val="single" w:color="auto" w:sz="4" w:space="0"/>
            </w:tcBorders>
          </w:tcPr>
          <w:p w14:paraId="4C97BF4E">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出险事故证明</w:t>
            </w:r>
          </w:p>
        </w:tc>
        <w:tc>
          <w:tcPr>
            <w:tcW w:w="2650" w:type="dxa"/>
            <w:tcBorders>
              <w:top w:val="single" w:color="auto" w:sz="4" w:space="0"/>
              <w:left w:val="single" w:color="auto" w:sz="4" w:space="0"/>
              <w:bottom w:val="single" w:color="auto" w:sz="4" w:space="0"/>
              <w:right w:val="single" w:color="auto" w:sz="4" w:space="0"/>
            </w:tcBorders>
          </w:tcPr>
          <w:p w14:paraId="7492EBAC">
            <w:pPr>
              <w:jc w:val="center"/>
              <w:rPr>
                <w:rFonts w:hint="eastAsia" w:ascii="仿宋" w:hAnsi="仿宋" w:eastAsia="仿宋" w:cs="仿宋"/>
                <w:color w:val="auto"/>
                <w:sz w:val="24"/>
                <w:szCs w:val="24"/>
                <w:highlight w:val="none"/>
              </w:rPr>
            </w:pPr>
          </w:p>
        </w:tc>
      </w:tr>
      <w:tr w14:paraId="2FBFF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tcBorders>
              <w:top w:val="single" w:color="auto" w:sz="4" w:space="0"/>
              <w:left w:val="single" w:color="auto" w:sz="4" w:space="0"/>
              <w:bottom w:val="single" w:color="auto" w:sz="4" w:space="0"/>
              <w:right w:val="single" w:color="auto" w:sz="4" w:space="0"/>
            </w:tcBorders>
          </w:tcPr>
          <w:p w14:paraId="0E5DB88C">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5245" w:type="dxa"/>
            <w:tcBorders>
              <w:top w:val="single" w:color="auto" w:sz="4" w:space="0"/>
              <w:left w:val="single" w:color="auto" w:sz="4" w:space="0"/>
              <w:bottom w:val="single" w:color="auto" w:sz="4" w:space="0"/>
              <w:right w:val="single" w:color="auto" w:sz="4" w:space="0"/>
            </w:tcBorders>
          </w:tcPr>
          <w:p w14:paraId="3C7D812A">
            <w:pPr>
              <w:rPr>
                <w:rFonts w:hint="eastAsia" w:ascii="仿宋" w:hAnsi="仿宋" w:eastAsia="仿宋" w:cs="仿宋"/>
                <w:color w:val="auto"/>
                <w:szCs w:val="21"/>
                <w:highlight w:val="none"/>
              </w:rPr>
            </w:pPr>
            <w:r>
              <w:rPr>
                <w:rFonts w:hint="eastAsia" w:ascii="仿宋" w:hAnsi="仿宋" w:eastAsia="仿宋" w:cs="仿宋"/>
                <w:color w:val="auto"/>
                <w:sz w:val="24"/>
                <w:szCs w:val="24"/>
                <w:highlight w:val="none"/>
              </w:rPr>
              <w:t>出险人（户籍注销的可不提供）及所有法定继承人的身份证件类及银行账户、家庭成员情况说明、法定继承人声明表</w:t>
            </w:r>
          </w:p>
        </w:tc>
        <w:tc>
          <w:tcPr>
            <w:tcW w:w="2650" w:type="dxa"/>
            <w:tcBorders>
              <w:top w:val="single" w:color="auto" w:sz="4" w:space="0"/>
              <w:left w:val="single" w:color="auto" w:sz="4" w:space="0"/>
              <w:bottom w:val="single" w:color="auto" w:sz="4" w:space="0"/>
              <w:right w:val="single" w:color="auto" w:sz="4" w:space="0"/>
            </w:tcBorders>
          </w:tcPr>
          <w:p w14:paraId="35D10BD7">
            <w:pPr>
              <w:jc w:val="center"/>
              <w:rPr>
                <w:rFonts w:hint="eastAsia" w:ascii="仿宋" w:hAnsi="仿宋" w:eastAsia="仿宋" w:cs="仿宋"/>
                <w:color w:val="auto"/>
                <w:sz w:val="24"/>
                <w:szCs w:val="24"/>
                <w:highlight w:val="none"/>
              </w:rPr>
            </w:pPr>
          </w:p>
        </w:tc>
      </w:tr>
    </w:tbl>
    <w:p w14:paraId="72E46D49">
      <w:pPr>
        <w:ind w:firstLine="482" w:firstLineChars="200"/>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*除清单外，乙方不得恶意设置其他报销理赔门槛。</w:t>
      </w:r>
    </w:p>
    <w:p w14:paraId="40418873">
      <w:pPr>
        <w:ind w:left="-619" w:leftChars="-295" w:firstLine="465" w:firstLineChars="193"/>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三、保费和结算方式</w:t>
      </w:r>
    </w:p>
    <w:p w14:paraId="2D1C723B">
      <w:pPr>
        <w:ind w:left="-619" w:leftChars="-295" w:firstLine="465" w:firstLineChars="193"/>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1.保费金额：</w:t>
      </w:r>
    </w:p>
    <w:p w14:paraId="3756FBBB">
      <w:pPr>
        <w:ind w:left="-619" w:leftChars="-295" w:firstLine="463" w:firstLineChars="19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保费标准为：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/人/年。首次参保人数为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人，首次保费合计</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元人民币，</w:t>
      </w:r>
      <w:r>
        <w:rPr>
          <w:rFonts w:hint="eastAsia" w:ascii="仿宋" w:hAnsi="仿宋" w:eastAsia="仿宋" w:cs="仿宋"/>
          <w:color w:val="auto"/>
          <w:sz w:val="24"/>
          <w:szCs w:val="24"/>
          <w:highlight w:val="none"/>
          <w:u w:val="single"/>
        </w:rPr>
        <w:t>（大写</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w:t>
      </w:r>
    </w:p>
    <w:p w14:paraId="1F03F48D">
      <w:pPr>
        <w:ind w:left="-619" w:leftChars="-295" w:firstLine="463" w:firstLineChars="19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2.签订合同后，按实际人数据实结算支付合同金额，收到乙方出具的正式发票、加盖乙方公章的付款申请书、合同复印件等书面资料交给校方，并全力配合校方工作人员按照事业单位报销流程报销，</w:t>
      </w:r>
      <w:r>
        <w:rPr>
          <w:rFonts w:hint="eastAsia" w:ascii="仿宋" w:hAnsi="仿宋" w:eastAsia="仿宋" w:cs="仿宋"/>
          <w:color w:val="auto"/>
          <w:sz w:val="24"/>
          <w:szCs w:val="24"/>
          <w:highlight w:val="none"/>
          <w:lang w:val="en-US" w:eastAsia="zh-CN"/>
        </w:rPr>
        <w:t>学校凭合同、发票、申请书等资料对公转账支付至乙方账户</w:t>
      </w:r>
      <w:bookmarkStart w:id="1" w:name="_GoBack"/>
      <w:bookmarkEnd w:id="1"/>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 xml:space="preserve">达到付款条件起15个工作日内 </w:t>
      </w:r>
      <w:r>
        <w:rPr>
          <w:rFonts w:hint="eastAsia" w:ascii="仿宋" w:hAnsi="仿宋" w:eastAsia="仿宋" w:cs="仿宋"/>
          <w:color w:val="auto"/>
          <w:sz w:val="24"/>
          <w:szCs w:val="24"/>
          <w:highlight w:val="none"/>
        </w:rPr>
        <w:t>，支付合同总金额的 100.00%。</w:t>
      </w:r>
    </w:p>
    <w:p w14:paraId="75C980DD">
      <w:pPr>
        <w:ind w:left="-619" w:leftChars="-295" w:firstLine="465" w:firstLineChars="193"/>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四、服务质量</w:t>
      </w:r>
    </w:p>
    <w:p w14:paraId="4E618E9A">
      <w:pPr>
        <w:ind w:left="-619" w:leftChars="-295" w:firstLine="463" w:firstLineChars="19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1.乙方按照投标文件设立专项服务小组向甲方提供投保、理赔等服务；</w:t>
      </w:r>
    </w:p>
    <w:p w14:paraId="0FA88E94">
      <w:pPr>
        <w:ind w:left="-619" w:leftChars="-295" w:firstLine="463" w:firstLineChars="19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2.在服务期限内，乙方如未完全履行保障条款及服务承诺，甲方可以书面形式向乙方提出索赔，同时通知采购代理机构，情节较重者，列入甲方采购商黑名单。</w:t>
      </w:r>
    </w:p>
    <w:p w14:paraId="50727511">
      <w:pPr>
        <w:ind w:left="-619" w:leftChars="-295" w:firstLine="463" w:firstLineChars="19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3.服务期限内，乙方为甲方项目提供服务所产生的培训费、交通费、公杂费等一切费用均由乙方承担。</w:t>
      </w:r>
    </w:p>
    <w:p w14:paraId="5201FAF2">
      <w:pPr>
        <w:ind w:left="-619" w:leftChars="-295" w:firstLine="463" w:firstLineChars="19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4.理赔方式：线上、线下两种方式。甲方可通过线上</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进行</w:t>
      </w:r>
      <w:r>
        <w:rPr>
          <w:rFonts w:hint="eastAsia" w:ascii="仿宋" w:hAnsi="仿宋" w:eastAsia="仿宋" w:cs="仿宋"/>
          <w:color w:val="auto"/>
          <w:sz w:val="24"/>
          <w:szCs w:val="24"/>
          <w:highlight w:val="none"/>
          <w:u w:val="single"/>
        </w:rPr>
        <w:t>医疗险</w:t>
      </w:r>
      <w:r>
        <w:rPr>
          <w:rFonts w:hint="eastAsia" w:ascii="仿宋" w:hAnsi="仿宋" w:eastAsia="仿宋" w:cs="仿宋"/>
          <w:color w:val="auto"/>
          <w:sz w:val="24"/>
          <w:szCs w:val="24"/>
          <w:highlight w:val="none"/>
        </w:rPr>
        <w:t>自助理赔。</w:t>
      </w:r>
    </w:p>
    <w:p w14:paraId="3104F3BA">
      <w:pPr>
        <w:ind w:left="-619" w:leftChars="-295" w:firstLine="463" w:firstLineChars="19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理赔时效：乙方在收到保险金给付申请书及保险金申请所需证明和资料后，将在5日内作出核定；情形复杂的，在30日内作出核定。若乙方要求投保人、被保险人或者受益人补充提供有关证明和资料的，则上述的30日不包括补充提供有关证明和资料的期间。经乙方核定属于保险责任的，乙方在与受益人达成有关给付保险金数额的协议后10日内，履行给付保险金义务。乙方未及时履行前款规定义务的，将赔偿受益人因此受到的损失。前述“损失”指根据中国人民银行公布的同期金融机构人民币活期存款基准利率计算的利息损失。对不属于保险责任的，乙方自作出核定之日起3日内向受益人发出拒绝给付保险金通知书， 并说明理由。</w:t>
      </w:r>
    </w:p>
    <w:p w14:paraId="2606E9EF">
      <w:pPr>
        <w:ind w:left="-619" w:leftChars="-295" w:firstLine="465" w:firstLineChars="193"/>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六、合同有效期</w:t>
      </w:r>
    </w:p>
    <w:p w14:paraId="7249349D">
      <w:pPr>
        <w:ind w:left="-619" w:leftChars="-295" w:firstLine="463" w:firstLineChars="19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合同期限与正式保单保险期间保持一致。发生时间在承保期间的就诊、入院、结算及意外事件等案件均为理赔范围，保险服务直到所有理赔服务完成时截止。</w:t>
      </w:r>
    </w:p>
    <w:p w14:paraId="7D744D1D">
      <w:pPr>
        <w:ind w:left="-619" w:leftChars="-295" w:firstLine="465" w:firstLineChars="193"/>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七、合同争议解决</w:t>
      </w:r>
    </w:p>
    <w:p w14:paraId="71BF48E5">
      <w:pPr>
        <w:ind w:left="-619" w:leftChars="-295" w:firstLine="463" w:firstLineChars="19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在合同履行过程中，双方发生争议，应本着友好协商的精神及时协商解决。双方不能达成一致时，可向</w:t>
      </w:r>
      <w:r>
        <w:rPr>
          <w:rFonts w:hint="eastAsia" w:ascii="仿宋" w:hAnsi="仿宋" w:eastAsia="仿宋" w:cs="仿宋"/>
          <w:color w:val="auto"/>
          <w:sz w:val="24"/>
          <w:szCs w:val="24"/>
          <w:highlight w:val="none"/>
          <w:u w:val="single"/>
        </w:rPr>
        <w:t>甲方</w:t>
      </w:r>
      <w:r>
        <w:rPr>
          <w:rFonts w:hint="eastAsia" w:ascii="仿宋" w:hAnsi="仿宋" w:eastAsia="仿宋" w:cs="仿宋"/>
          <w:color w:val="auto"/>
          <w:sz w:val="24"/>
          <w:szCs w:val="24"/>
          <w:highlight w:val="none"/>
        </w:rPr>
        <w:t>所在地人民法院提起诉讼。</w:t>
      </w:r>
    </w:p>
    <w:p w14:paraId="525C60AB">
      <w:pPr>
        <w:ind w:left="-619" w:leftChars="-295" w:firstLine="465" w:firstLineChars="193"/>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八、合同变更</w:t>
      </w:r>
    </w:p>
    <w:p w14:paraId="3CF5541E">
      <w:pPr>
        <w:ind w:left="-615" w:leftChars="-293"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甲方有权变更、调整或者中止、终止本合同协议，应提前五个工作日书面通知乙方。</w:t>
      </w:r>
    </w:p>
    <w:p w14:paraId="2AA8CE21">
      <w:pPr>
        <w:numPr>
          <w:ilvl w:val="0"/>
          <w:numId w:val="1"/>
        </w:numPr>
        <w:ind w:left="-619" w:leftChars="-295" w:firstLine="465" w:firstLineChars="193"/>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违约责任</w:t>
      </w:r>
    </w:p>
    <w:p w14:paraId="28F8898D">
      <w:pPr>
        <w:ind w:left="-619" w:leftChars="-295" w:firstLine="463" w:firstLineChars="193"/>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凡符合国家医保报销政策的疾病之门诊、住院治疗均在承保范围。被保险人在全国范围内社保定点医疗机构就医、在全国范围内发生的意外事故的案件均为保险理赔范围。如乙方违反本条，拒绝承保，或不按合同条款理赔，被保险人或受益人可通过合法手段进行索赔。确实属于乙方过错的，甲方及其被保险人、受益人等利益相关人，有权按照《中华人民共和国保险法》进行索赔，并向市场监督管理部门、向乙方上级单位，业务主管部门投诉，并依法索取民事赔偿，乙方应在保额范围内给付。</w:t>
      </w:r>
    </w:p>
    <w:p w14:paraId="61C1BD96">
      <w:pPr>
        <w:ind w:left="-615" w:leftChars="-293" w:firstLine="480" w:firstLineChars="200"/>
        <w:jc w:val="left"/>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2.乙方应严格遵守保密规定，不得违法收集、使用、处理、存储、传输、泄露</w:t>
      </w:r>
      <w:r>
        <w:rPr>
          <w:rFonts w:hint="eastAsia" w:ascii="仿宋" w:hAnsi="仿宋" w:eastAsia="仿宋" w:cs="仿宋"/>
          <w:bCs/>
          <w:color w:val="auto"/>
          <w:sz w:val="24"/>
          <w:szCs w:val="24"/>
          <w:highlight w:val="none"/>
        </w:rPr>
        <w:t>隐私信息。否则，甲方及其被保险人、受益人等利益相关人，有权按照法律法规依法索赔，并向市场监督管理部门、向乙方上级单位，业务主管部门投诉，并索取民事赔偿，乙方应在保额范围内给付。</w:t>
      </w:r>
    </w:p>
    <w:p w14:paraId="60931BC0">
      <w:pPr>
        <w:adjustRightInd w:val="0"/>
        <w:snapToGrid w:val="0"/>
        <w:ind w:left="-619" w:leftChars="-295" w:firstLine="480" w:firstLineChars="200"/>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3.应在收到甲方投保材料后5个工作日内，完成投保及服务流程设置，确保按时承保。</w:t>
      </w:r>
    </w:p>
    <w:p w14:paraId="069C830C">
      <w:pPr>
        <w:adjustRightInd w:val="0"/>
        <w:snapToGrid w:val="0"/>
        <w:ind w:left="-619" w:leftChars="-295" w:firstLine="480" w:firstLineChars="200"/>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一般正常案件应在5个工作日内理赔结案、理赔款到账。对案件及材料有异议的，应在接到报案材料2个工作日内向报案人和甲方联系人通报情况，共同商定理赔时限。未在约定时间内理赔、拒赔案件应向报案人和甲方送达书面说明或拒赔通知。乙方违约，甲方及其被保险人、受益人等利益相关人，有权按照法律法规依法索赔，并向市场监督管理部门、向乙方上级单位，业务主管部门投诉，并索取民事赔偿，</w:t>
      </w:r>
      <w:r>
        <w:rPr>
          <w:rFonts w:hint="eastAsia" w:ascii="仿宋" w:hAnsi="仿宋" w:eastAsia="仿宋" w:cs="仿宋"/>
          <w:b/>
          <w:color w:val="auto"/>
          <w:sz w:val="24"/>
          <w:szCs w:val="24"/>
          <w:highlight w:val="none"/>
        </w:rPr>
        <w:t>乙方应</w:t>
      </w:r>
      <w:r>
        <w:rPr>
          <w:rFonts w:hint="eastAsia" w:ascii="仿宋" w:hAnsi="仿宋" w:eastAsia="仿宋" w:cs="仿宋"/>
          <w:bCs/>
          <w:color w:val="auto"/>
          <w:sz w:val="24"/>
          <w:szCs w:val="24"/>
          <w:highlight w:val="none"/>
        </w:rPr>
        <w:t>在保额范围内给付。</w:t>
      </w:r>
    </w:p>
    <w:p w14:paraId="3D5C2539">
      <w:pPr>
        <w:ind w:left="-619" w:leftChars="-295" w:firstLine="465" w:firstLineChars="193"/>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十、反腐败和反商业贿赂</w:t>
      </w:r>
    </w:p>
    <w:p w14:paraId="130CC896">
      <w:pPr>
        <w:ind w:left="-619" w:leftChars="-295" w:firstLine="463" w:firstLineChars="193"/>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甲乙双方均知悉并应当（且应促使其关联方、雇员、代表或代理）严格遵守《中华人民共和国反不正当竞争法》《中华人民共和国刑法》等中国及相关国家关于反腐败和反商业贿赂的法律规定，双方均知悉任何形式的贿赂和贪渎行为都将触犯法律，并将受到法律的严惩。</w:t>
      </w:r>
    </w:p>
    <w:p w14:paraId="6C77E3E7">
      <w:pPr>
        <w:ind w:left="-619" w:leftChars="-295" w:firstLine="463" w:firstLineChars="193"/>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甲方或乙方均不得（且应促使其关联方、雇员、代表或代理均不得）违反第1条所述的相关法律规定，包括不得向对方或对方经办人或其他相关实体或人员索要、收受、提供、给予、承诺本合同约定外的任何利益，包括但不限于明扣、暗扣、现金、购物卡、实物、有价证券、旅游、礼品、娱乐或其他非物质性利益等。</w:t>
      </w:r>
    </w:p>
    <w:p w14:paraId="4E6F04B6">
      <w:pPr>
        <w:ind w:left="-619" w:leftChars="-295" w:firstLine="463" w:firstLineChars="193"/>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款所称“其他相关实体或人员”是指甲乙双方经办人以外的与合同有直接关系或间接利益关系的实体或人员，包括但不限于合同双方经办人的亲友、交易相对方的员工、受交易相对方委托办理相关事务的实体或个人、或可能利用职权或者影响力影响交易的实体或个人。</w:t>
      </w:r>
    </w:p>
    <w:p w14:paraId="14149442">
      <w:pPr>
        <w:ind w:left="-619" w:leftChars="-295" w:firstLine="463" w:firstLineChars="193"/>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如果乙方得知或有理由知道，出现了出于为甲方谋取交易机会或者竞争优势或谋取任何不正当利益的目的向任何主体支付、提出或承诺支付钱款或提供有价物的情况，则乙方应立即将其知悉的上述情况以书面形式通知甲方的法律及合规部门。</w:t>
      </w:r>
    </w:p>
    <w:p w14:paraId="74886F28">
      <w:pPr>
        <w:ind w:left="-619" w:leftChars="-295" w:firstLine="463" w:firstLineChars="193"/>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双方工作人员有违反上述行为的，双方应依据有关法律、法规予以处理；涉嫌犯罪的，不论犯罪人是中国人还是外国人，也不论犯罪地在中国领域内还是在中国领域外，双方应根据《中华人民共和国刑法》移交中国司法机关追究刑事责任。</w:t>
      </w:r>
    </w:p>
    <w:p w14:paraId="311D40CD">
      <w:pPr>
        <w:ind w:left="-619" w:leftChars="-295" w:firstLine="465" w:firstLineChars="193"/>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十一、保密条款</w:t>
      </w:r>
    </w:p>
    <w:p w14:paraId="4A4BC845">
      <w:pPr>
        <w:ind w:left="-619" w:leftChars="-295" w:firstLine="463" w:firstLineChars="19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应遵循保密原则，应采取不低于对其自身信息保密的措施，妥善保管并保护公民和单位的保密信息。无论本协议是否终止、解除或撤销，任何一方均不得复制、印刷或通过任何形式向任何第三方传播对方提供的文件、资料等非公开信息以及合作业务中涉及的相关学校信息和客户信息，不得将对方的资料及客户信息用于双方合作业务之外的任何目的，无论该等信息是否标注为保密。</w:t>
      </w:r>
    </w:p>
    <w:p w14:paraId="584EEA10">
      <w:pPr>
        <w:ind w:left="-619" w:leftChars="-295" w:firstLine="463" w:firstLineChars="19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2.乙方泄密或不正当使用对方秘密给对方造成损失的，泄密方应当承担违约责任.</w:t>
      </w:r>
    </w:p>
    <w:p w14:paraId="66765056">
      <w:pPr>
        <w:ind w:left="-619" w:leftChars="-295" w:firstLine="463" w:firstLineChars="19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3.乙方应要求相关人员负有同等保密义务。乙方员工、代理人等（以下称“乙方人员”）违反保密义务的行为视为乙方违约，责任由乙方承担</w:t>
      </w:r>
    </w:p>
    <w:p w14:paraId="63F4DBFD">
      <w:pPr>
        <w:ind w:left="-619" w:leftChars="-295" w:firstLine="463" w:firstLineChars="19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双方应仅向其有必要知晓保密信息的人员披露该保密信息（且仅可披露必要披露部分的保密信息），以实现本协议项下交易之目的。乙方均应告知其人员本协议项下保密条款的要求，双方人员违反保密义务的，视为该方违约，需向守约方承担违约责任。</w:t>
      </w:r>
    </w:p>
    <w:p w14:paraId="43A87691">
      <w:pPr>
        <w:ind w:left="-619" w:leftChars="-295" w:firstLine="463" w:firstLineChars="19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5.本协议项下保密条款具有独立性，保密义务的期限自本协议签署之日起至该信息公开之日，保密义务不因协议终止而失效。</w:t>
      </w:r>
    </w:p>
    <w:p w14:paraId="30D9639B">
      <w:pPr>
        <w:ind w:left="-619" w:leftChars="-295" w:firstLine="463" w:firstLineChars="19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十二、附则</w:t>
      </w:r>
    </w:p>
    <w:p w14:paraId="1ECEFD5D">
      <w:pPr>
        <w:ind w:left="-619" w:leftChars="-295" w:firstLine="463" w:firstLineChars="19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1.本合同一式捌份，甲方七份，乙方一份。签字盖章后生效，合同执行完毕自动失效；</w:t>
      </w:r>
    </w:p>
    <w:p w14:paraId="05DA9A47">
      <w:pPr>
        <w:ind w:left="-619" w:leftChars="-295" w:firstLine="463" w:firstLineChars="193"/>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2.本合同如有未尽事宜，经双方协商一致后可随时以书面方式修改或补充，并作为本合同组成部分；</w:t>
      </w:r>
    </w:p>
    <w:p w14:paraId="2E5D3FD4">
      <w:pPr>
        <w:ind w:left="-619" w:leftChars="-295" w:firstLine="463" w:firstLineChars="19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3.本合同不支持债权转让。</w:t>
      </w:r>
    </w:p>
    <w:p w14:paraId="4A667E08">
      <w:pPr>
        <w:ind w:left="-619" w:leftChars="-295" w:firstLine="463" w:firstLineChars="19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4.本合同附件与本合同具有同等法律效力，本合同附件包括：</w:t>
      </w:r>
      <w:r>
        <w:rPr>
          <w:rFonts w:hint="eastAsia" w:ascii="仿宋" w:hAnsi="仿宋" w:eastAsia="仿宋" w:cs="仿宋"/>
          <w:color w:val="auto"/>
          <w:sz w:val="24"/>
          <w:szCs w:val="24"/>
          <w:highlight w:val="none"/>
          <w:u w:val="single"/>
        </w:rPr>
        <w:t>投标文件。</w:t>
      </w:r>
    </w:p>
    <w:p w14:paraId="58FDE6D3">
      <w:pPr>
        <w:ind w:left="-619" w:leftChars="-295" w:firstLine="465" w:firstLineChars="193"/>
        <w:jc w:val="lef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 xml:space="preserve"> </w:t>
      </w:r>
    </w:p>
    <w:p w14:paraId="1F8D1867">
      <w:pPr>
        <w:ind w:left="-619" w:leftChars="-295" w:firstLine="465" w:firstLineChars="193"/>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 xml:space="preserve"> </w:t>
      </w:r>
    </w:p>
    <w:p w14:paraId="7719AC86">
      <w:pP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（以下无正文为签字盖章页）</w:t>
      </w:r>
    </w:p>
    <w:p w14:paraId="2EFC75C2">
      <w:pPr>
        <w:ind w:left="-619" w:leftChars="-295" w:firstLine="465" w:firstLineChars="193"/>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 xml:space="preserve"> </w:t>
      </w:r>
    </w:p>
    <w:p w14:paraId="263E6EAB">
      <w:pPr>
        <w:ind w:left="-619" w:leftChars="-295" w:firstLine="407" w:firstLineChars="193"/>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 </w:t>
      </w:r>
    </w:p>
    <w:tbl>
      <w:tblPr>
        <w:tblStyle w:val="5"/>
        <w:tblW w:w="0" w:type="auto"/>
        <w:jc w:val="center"/>
        <w:tblLayout w:type="fixed"/>
        <w:tblCellMar>
          <w:top w:w="0" w:type="dxa"/>
          <w:left w:w="108" w:type="dxa"/>
          <w:bottom w:w="0" w:type="dxa"/>
          <w:right w:w="108" w:type="dxa"/>
        </w:tblCellMar>
      </w:tblPr>
      <w:tblGrid>
        <w:gridCol w:w="4748"/>
        <w:gridCol w:w="4553"/>
      </w:tblGrid>
      <w:tr w14:paraId="7BED49D4">
        <w:tblPrEx>
          <w:tblCellMar>
            <w:top w:w="0" w:type="dxa"/>
            <w:left w:w="108" w:type="dxa"/>
            <w:bottom w:w="0" w:type="dxa"/>
            <w:right w:w="108" w:type="dxa"/>
          </w:tblCellMar>
        </w:tblPrEx>
        <w:trPr>
          <w:trHeight w:val="487" w:hRule="atLeast"/>
          <w:jc w:val="center"/>
        </w:trPr>
        <w:tc>
          <w:tcPr>
            <w:tcW w:w="4748" w:type="dxa"/>
            <w:tcBorders>
              <w:top w:val="single" w:color="auto" w:sz="12" w:space="0"/>
              <w:left w:val="single" w:color="auto" w:sz="12" w:space="0"/>
              <w:bottom w:val="nil"/>
              <w:right w:val="single" w:color="auto" w:sz="12" w:space="0"/>
            </w:tcBorders>
            <w:vAlign w:val="center"/>
          </w:tcPr>
          <w:p w14:paraId="44284BC5">
            <w:pPr>
              <w:ind w:left="-17" w:leftChars="-8" w:firstLine="19" w:firstLineChars="9"/>
              <w:jc w:val="left"/>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甲  方</w:t>
            </w:r>
          </w:p>
        </w:tc>
        <w:tc>
          <w:tcPr>
            <w:tcW w:w="4553" w:type="dxa"/>
            <w:tcBorders>
              <w:top w:val="single" w:color="auto" w:sz="12" w:space="0"/>
              <w:left w:val="nil"/>
              <w:bottom w:val="nil"/>
              <w:right w:val="single" w:color="auto" w:sz="12" w:space="0"/>
            </w:tcBorders>
            <w:vAlign w:val="center"/>
          </w:tcPr>
          <w:p w14:paraId="58EFA081">
            <w:pPr>
              <w:ind w:left="-17" w:leftChars="-8" w:firstLine="19" w:firstLineChars="9"/>
              <w:jc w:val="left"/>
              <w:rPr>
                <w:rFonts w:hint="eastAsia" w:ascii="仿宋" w:hAnsi="仿宋" w:eastAsia="仿宋" w:cs="仿宋"/>
                <w:color w:val="auto"/>
                <w:szCs w:val="21"/>
                <w:highlight w:val="none"/>
              </w:rPr>
            </w:pPr>
            <w:r>
              <w:rPr>
                <w:rFonts w:hint="eastAsia" w:ascii="仿宋" w:hAnsi="仿宋" w:eastAsia="仿宋" w:cs="仿宋"/>
                <w:b/>
                <w:bCs/>
                <w:color w:val="auto"/>
                <w:szCs w:val="21"/>
                <w:highlight w:val="none"/>
              </w:rPr>
              <w:t>乙  方</w:t>
            </w:r>
          </w:p>
        </w:tc>
      </w:tr>
      <w:tr w14:paraId="17ABB68F">
        <w:tblPrEx>
          <w:tblCellMar>
            <w:top w:w="0" w:type="dxa"/>
            <w:left w:w="108" w:type="dxa"/>
            <w:bottom w:w="0" w:type="dxa"/>
            <w:right w:w="108" w:type="dxa"/>
          </w:tblCellMar>
        </w:tblPrEx>
        <w:trPr>
          <w:trHeight w:val="933" w:hRule="atLeast"/>
          <w:jc w:val="center"/>
        </w:trPr>
        <w:tc>
          <w:tcPr>
            <w:tcW w:w="4748" w:type="dxa"/>
            <w:tcBorders>
              <w:top w:val="nil"/>
              <w:left w:val="single" w:color="auto" w:sz="12" w:space="0"/>
              <w:bottom w:val="nil"/>
              <w:right w:val="single" w:color="auto" w:sz="12" w:space="0"/>
            </w:tcBorders>
            <w:vAlign w:val="center"/>
          </w:tcPr>
          <w:p w14:paraId="59364978">
            <w:pPr>
              <w:ind w:left="-17" w:leftChars="-8" w:firstLine="18" w:firstLineChars="9"/>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名称：陕西铁路工程职业技术学院</w:t>
            </w:r>
          </w:p>
          <w:p w14:paraId="12AD5963">
            <w:pPr>
              <w:ind w:left="-17" w:leftChars="-8" w:firstLine="18" w:firstLineChars="9"/>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（盖章）</w:t>
            </w:r>
          </w:p>
        </w:tc>
        <w:tc>
          <w:tcPr>
            <w:tcW w:w="4553" w:type="dxa"/>
            <w:tcBorders>
              <w:top w:val="nil"/>
              <w:left w:val="nil"/>
              <w:bottom w:val="nil"/>
              <w:right w:val="single" w:color="auto" w:sz="12" w:space="0"/>
            </w:tcBorders>
            <w:vAlign w:val="center"/>
          </w:tcPr>
          <w:p w14:paraId="1F4AE7CF">
            <w:pPr>
              <w:ind w:left="-17" w:leftChars="-8" w:firstLine="18" w:firstLineChars="9"/>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名称：                                      </w:t>
            </w:r>
          </w:p>
        </w:tc>
      </w:tr>
      <w:tr w14:paraId="271C8914">
        <w:tblPrEx>
          <w:tblCellMar>
            <w:top w:w="0" w:type="dxa"/>
            <w:left w:w="108" w:type="dxa"/>
            <w:bottom w:w="0" w:type="dxa"/>
            <w:right w:w="108" w:type="dxa"/>
          </w:tblCellMar>
        </w:tblPrEx>
        <w:trPr>
          <w:trHeight w:val="1033" w:hRule="atLeast"/>
          <w:jc w:val="center"/>
        </w:trPr>
        <w:tc>
          <w:tcPr>
            <w:tcW w:w="4748" w:type="dxa"/>
            <w:tcBorders>
              <w:top w:val="nil"/>
              <w:left w:val="single" w:color="auto" w:sz="12" w:space="0"/>
              <w:bottom w:val="nil"/>
              <w:right w:val="single" w:color="auto" w:sz="12" w:space="0"/>
            </w:tcBorders>
            <w:vAlign w:val="center"/>
          </w:tcPr>
          <w:p w14:paraId="318754EE">
            <w:pPr>
              <w:ind w:left="-17" w:leftChars="-8" w:firstLine="18" w:firstLineChars="9"/>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地址：陕西省渭南市站北路东段1号</w:t>
            </w:r>
          </w:p>
        </w:tc>
        <w:tc>
          <w:tcPr>
            <w:tcW w:w="4553" w:type="dxa"/>
            <w:tcBorders>
              <w:top w:val="nil"/>
              <w:left w:val="nil"/>
              <w:bottom w:val="nil"/>
              <w:right w:val="single" w:color="auto" w:sz="12" w:space="0"/>
            </w:tcBorders>
            <w:vAlign w:val="center"/>
          </w:tcPr>
          <w:p w14:paraId="2FD20527">
            <w:pPr>
              <w:ind w:left="-17" w:leftChars="-8" w:firstLine="18" w:firstLineChars="9"/>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地址：                               </w:t>
            </w:r>
          </w:p>
        </w:tc>
      </w:tr>
      <w:tr w14:paraId="7DE0BB0F">
        <w:tblPrEx>
          <w:tblCellMar>
            <w:top w:w="0" w:type="dxa"/>
            <w:left w:w="108" w:type="dxa"/>
            <w:bottom w:w="0" w:type="dxa"/>
            <w:right w:w="108" w:type="dxa"/>
          </w:tblCellMar>
        </w:tblPrEx>
        <w:trPr>
          <w:trHeight w:val="537" w:hRule="atLeast"/>
          <w:jc w:val="center"/>
        </w:trPr>
        <w:tc>
          <w:tcPr>
            <w:tcW w:w="4748" w:type="dxa"/>
            <w:tcBorders>
              <w:top w:val="nil"/>
              <w:left w:val="single" w:color="auto" w:sz="12" w:space="0"/>
              <w:bottom w:val="nil"/>
              <w:right w:val="single" w:color="auto" w:sz="12" w:space="0"/>
            </w:tcBorders>
            <w:vAlign w:val="center"/>
          </w:tcPr>
          <w:p w14:paraId="0CC38AED">
            <w:pPr>
              <w:ind w:left="-17" w:leftChars="-8" w:firstLine="18" w:firstLineChars="9"/>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邮编：714099</w:t>
            </w:r>
          </w:p>
        </w:tc>
        <w:tc>
          <w:tcPr>
            <w:tcW w:w="4553" w:type="dxa"/>
            <w:tcBorders>
              <w:top w:val="nil"/>
              <w:left w:val="nil"/>
              <w:bottom w:val="nil"/>
              <w:right w:val="single" w:color="auto" w:sz="12" w:space="0"/>
            </w:tcBorders>
            <w:vAlign w:val="center"/>
          </w:tcPr>
          <w:p w14:paraId="44B56497">
            <w:pPr>
              <w:ind w:left="-17" w:leftChars="-8" w:firstLine="18" w:firstLineChars="9"/>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邮编：                                 </w:t>
            </w:r>
          </w:p>
        </w:tc>
      </w:tr>
      <w:tr w14:paraId="41A83FF4">
        <w:tblPrEx>
          <w:tblCellMar>
            <w:top w:w="0" w:type="dxa"/>
            <w:left w:w="108" w:type="dxa"/>
            <w:bottom w:w="0" w:type="dxa"/>
            <w:right w:w="108" w:type="dxa"/>
          </w:tblCellMar>
        </w:tblPrEx>
        <w:trPr>
          <w:trHeight w:val="537" w:hRule="atLeast"/>
          <w:jc w:val="center"/>
        </w:trPr>
        <w:tc>
          <w:tcPr>
            <w:tcW w:w="4748" w:type="dxa"/>
            <w:tcBorders>
              <w:top w:val="nil"/>
              <w:left w:val="single" w:color="auto" w:sz="12" w:space="0"/>
              <w:bottom w:val="nil"/>
              <w:right w:val="single" w:color="auto" w:sz="12" w:space="0"/>
            </w:tcBorders>
            <w:vAlign w:val="center"/>
          </w:tcPr>
          <w:p w14:paraId="31753638">
            <w:pPr>
              <w:ind w:left="-17" w:leftChars="-8" w:firstLine="18" w:firstLineChars="9"/>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法定代表人（负责人）：</w:t>
            </w:r>
          </w:p>
        </w:tc>
        <w:tc>
          <w:tcPr>
            <w:tcW w:w="4553" w:type="dxa"/>
            <w:tcBorders>
              <w:top w:val="nil"/>
              <w:left w:val="nil"/>
              <w:bottom w:val="nil"/>
              <w:right w:val="single" w:color="auto" w:sz="12" w:space="0"/>
            </w:tcBorders>
            <w:vAlign w:val="center"/>
          </w:tcPr>
          <w:p w14:paraId="78ADE146">
            <w:pPr>
              <w:ind w:left="-17" w:leftChars="-8" w:firstLine="18" w:firstLineChars="9"/>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法定代表人（负责人）：</w:t>
            </w:r>
          </w:p>
        </w:tc>
      </w:tr>
      <w:tr w14:paraId="3E820318">
        <w:tblPrEx>
          <w:tblCellMar>
            <w:top w:w="0" w:type="dxa"/>
            <w:left w:w="108" w:type="dxa"/>
            <w:bottom w:w="0" w:type="dxa"/>
            <w:right w:w="108" w:type="dxa"/>
          </w:tblCellMar>
        </w:tblPrEx>
        <w:trPr>
          <w:trHeight w:val="537" w:hRule="atLeast"/>
          <w:jc w:val="center"/>
        </w:trPr>
        <w:tc>
          <w:tcPr>
            <w:tcW w:w="4748" w:type="dxa"/>
            <w:tcBorders>
              <w:top w:val="nil"/>
              <w:left w:val="single" w:color="auto" w:sz="12" w:space="0"/>
              <w:bottom w:val="nil"/>
              <w:right w:val="single" w:color="auto" w:sz="12" w:space="0"/>
            </w:tcBorders>
            <w:vAlign w:val="center"/>
          </w:tcPr>
          <w:p w14:paraId="6EAA417D">
            <w:pPr>
              <w:ind w:left="-17" w:leftChars="-8" w:firstLine="18" w:firstLineChars="9"/>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被授权代表：（签字）</w:t>
            </w:r>
          </w:p>
        </w:tc>
        <w:tc>
          <w:tcPr>
            <w:tcW w:w="4553" w:type="dxa"/>
            <w:tcBorders>
              <w:top w:val="nil"/>
              <w:left w:val="nil"/>
              <w:bottom w:val="nil"/>
              <w:right w:val="single" w:color="auto" w:sz="12" w:space="0"/>
            </w:tcBorders>
            <w:vAlign w:val="center"/>
          </w:tcPr>
          <w:p w14:paraId="149F4E0D">
            <w:pPr>
              <w:ind w:left="-17" w:leftChars="-8" w:firstLine="18" w:firstLineChars="9"/>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被授权代表：（签字）</w:t>
            </w:r>
          </w:p>
        </w:tc>
      </w:tr>
      <w:tr w14:paraId="0D34D341">
        <w:tblPrEx>
          <w:tblCellMar>
            <w:top w:w="0" w:type="dxa"/>
            <w:left w:w="108" w:type="dxa"/>
            <w:bottom w:w="0" w:type="dxa"/>
            <w:right w:w="108" w:type="dxa"/>
          </w:tblCellMar>
        </w:tblPrEx>
        <w:trPr>
          <w:trHeight w:val="537" w:hRule="atLeast"/>
          <w:jc w:val="center"/>
        </w:trPr>
        <w:tc>
          <w:tcPr>
            <w:tcW w:w="4748" w:type="dxa"/>
            <w:tcBorders>
              <w:top w:val="nil"/>
              <w:left w:val="single" w:color="auto" w:sz="12" w:space="0"/>
              <w:bottom w:val="nil"/>
              <w:right w:val="single" w:color="auto" w:sz="12" w:space="0"/>
            </w:tcBorders>
            <w:vAlign w:val="center"/>
          </w:tcPr>
          <w:p w14:paraId="1CBD764E">
            <w:pPr>
              <w:ind w:left="-17" w:leftChars="-8" w:firstLine="18" w:firstLineChars="9"/>
              <w:jc w:val="left"/>
              <w:rPr>
                <w:rFonts w:hint="eastAsia" w:ascii="仿宋" w:hAnsi="仿宋" w:eastAsia="仿宋" w:cs="仿宋"/>
                <w:color w:val="auto"/>
                <w:szCs w:val="21"/>
                <w:highlight w:val="none"/>
              </w:rPr>
            </w:pPr>
            <w:bookmarkStart w:id="0" w:name="OLE_LINK1"/>
            <w:r>
              <w:rPr>
                <w:rFonts w:hint="eastAsia" w:ascii="仿宋" w:hAnsi="仿宋" w:eastAsia="仿宋" w:cs="仿宋"/>
                <w:color w:val="auto"/>
                <w:szCs w:val="21"/>
                <w:highlight w:val="none"/>
              </w:rPr>
              <w:t>经办人</w:t>
            </w:r>
            <w:bookmarkEnd w:id="0"/>
            <w:r>
              <w:rPr>
                <w:rFonts w:hint="eastAsia" w:ascii="仿宋" w:hAnsi="仿宋" w:eastAsia="仿宋" w:cs="仿宋"/>
                <w:color w:val="auto"/>
                <w:szCs w:val="21"/>
                <w:highlight w:val="none"/>
              </w:rPr>
              <w:t xml:space="preserve">电话：15706062006    </w:t>
            </w:r>
          </w:p>
        </w:tc>
        <w:tc>
          <w:tcPr>
            <w:tcW w:w="4553" w:type="dxa"/>
            <w:tcBorders>
              <w:top w:val="nil"/>
              <w:left w:val="nil"/>
              <w:bottom w:val="nil"/>
              <w:right w:val="single" w:color="auto" w:sz="12" w:space="0"/>
            </w:tcBorders>
            <w:vAlign w:val="center"/>
          </w:tcPr>
          <w:p w14:paraId="2B7045DC">
            <w:pPr>
              <w:ind w:left="-17" w:leftChars="-8" w:firstLine="18" w:firstLineChars="9"/>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经办人电话：                   </w:t>
            </w:r>
          </w:p>
        </w:tc>
      </w:tr>
      <w:tr w14:paraId="49622770">
        <w:tblPrEx>
          <w:tblCellMar>
            <w:top w:w="0" w:type="dxa"/>
            <w:left w:w="108" w:type="dxa"/>
            <w:bottom w:w="0" w:type="dxa"/>
            <w:right w:w="108" w:type="dxa"/>
          </w:tblCellMar>
        </w:tblPrEx>
        <w:trPr>
          <w:trHeight w:val="537" w:hRule="atLeast"/>
          <w:jc w:val="center"/>
        </w:trPr>
        <w:tc>
          <w:tcPr>
            <w:tcW w:w="4748" w:type="dxa"/>
            <w:tcBorders>
              <w:top w:val="nil"/>
              <w:left w:val="single" w:color="auto" w:sz="12" w:space="0"/>
              <w:bottom w:val="nil"/>
              <w:right w:val="single" w:color="auto" w:sz="12" w:space="0"/>
            </w:tcBorders>
            <w:vAlign w:val="center"/>
          </w:tcPr>
          <w:p w14:paraId="3E991F48">
            <w:pPr>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统一社会信用代码：126100004369070259</w:t>
            </w:r>
          </w:p>
        </w:tc>
        <w:tc>
          <w:tcPr>
            <w:tcW w:w="4553" w:type="dxa"/>
            <w:tcBorders>
              <w:top w:val="nil"/>
              <w:left w:val="nil"/>
              <w:bottom w:val="nil"/>
              <w:right w:val="single" w:color="auto" w:sz="12" w:space="0"/>
            </w:tcBorders>
            <w:vAlign w:val="center"/>
          </w:tcPr>
          <w:p w14:paraId="1351EF9D">
            <w:pPr>
              <w:ind w:left="-17" w:leftChars="-8" w:firstLine="18" w:firstLineChars="9"/>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统一社会信用代码：</w:t>
            </w:r>
          </w:p>
        </w:tc>
      </w:tr>
      <w:tr w14:paraId="1BC33D52">
        <w:tblPrEx>
          <w:tblCellMar>
            <w:top w:w="0" w:type="dxa"/>
            <w:left w:w="108" w:type="dxa"/>
            <w:bottom w:w="0" w:type="dxa"/>
            <w:right w:w="108" w:type="dxa"/>
          </w:tblCellMar>
        </w:tblPrEx>
        <w:trPr>
          <w:trHeight w:val="537" w:hRule="atLeast"/>
          <w:jc w:val="center"/>
        </w:trPr>
        <w:tc>
          <w:tcPr>
            <w:tcW w:w="4748" w:type="dxa"/>
            <w:tcBorders>
              <w:top w:val="nil"/>
              <w:left w:val="single" w:color="auto" w:sz="12" w:space="0"/>
              <w:bottom w:val="nil"/>
              <w:right w:val="single" w:color="auto" w:sz="12" w:space="0"/>
            </w:tcBorders>
            <w:vAlign w:val="center"/>
          </w:tcPr>
          <w:p w14:paraId="558FBF84">
            <w:pPr>
              <w:ind w:left="-17" w:leftChars="-8" w:firstLine="18" w:firstLineChars="9"/>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开户银行：建设银行陕西省渭南市站北路支行</w:t>
            </w:r>
          </w:p>
        </w:tc>
        <w:tc>
          <w:tcPr>
            <w:tcW w:w="4553" w:type="dxa"/>
            <w:tcBorders>
              <w:top w:val="nil"/>
              <w:left w:val="nil"/>
              <w:bottom w:val="nil"/>
              <w:right w:val="single" w:color="auto" w:sz="12" w:space="0"/>
            </w:tcBorders>
            <w:vAlign w:val="center"/>
          </w:tcPr>
          <w:p w14:paraId="06B2FDE7">
            <w:pPr>
              <w:ind w:left="-17" w:leftChars="-8" w:firstLine="18" w:firstLineChars="9"/>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开户银行：                                  </w:t>
            </w:r>
          </w:p>
        </w:tc>
      </w:tr>
      <w:tr w14:paraId="447B7F7B">
        <w:tblPrEx>
          <w:tblCellMar>
            <w:top w:w="0" w:type="dxa"/>
            <w:left w:w="108" w:type="dxa"/>
            <w:bottom w:w="0" w:type="dxa"/>
            <w:right w:w="108" w:type="dxa"/>
          </w:tblCellMar>
        </w:tblPrEx>
        <w:trPr>
          <w:trHeight w:val="1033" w:hRule="atLeast"/>
          <w:jc w:val="center"/>
        </w:trPr>
        <w:tc>
          <w:tcPr>
            <w:tcW w:w="4748" w:type="dxa"/>
            <w:tcBorders>
              <w:top w:val="nil"/>
              <w:left w:val="single" w:color="auto" w:sz="12" w:space="0"/>
              <w:bottom w:val="nil"/>
              <w:right w:val="single" w:color="auto" w:sz="12" w:space="0"/>
            </w:tcBorders>
            <w:vAlign w:val="center"/>
          </w:tcPr>
          <w:p w14:paraId="2C142152">
            <w:pPr>
              <w:ind w:left="-17" w:leftChars="-8" w:firstLine="18" w:firstLineChars="9"/>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账户名称：陕西铁路工程职业技术学院</w:t>
            </w:r>
          </w:p>
        </w:tc>
        <w:tc>
          <w:tcPr>
            <w:tcW w:w="4553" w:type="dxa"/>
            <w:tcBorders>
              <w:top w:val="nil"/>
              <w:left w:val="nil"/>
              <w:bottom w:val="nil"/>
              <w:right w:val="single" w:color="auto" w:sz="12" w:space="0"/>
            </w:tcBorders>
            <w:vAlign w:val="center"/>
          </w:tcPr>
          <w:p w14:paraId="1B4F18EA">
            <w:pPr>
              <w:ind w:left="-17" w:leftChars="-8" w:firstLine="18" w:firstLineChars="9"/>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账户名称：                      </w:t>
            </w:r>
          </w:p>
        </w:tc>
      </w:tr>
      <w:tr w14:paraId="13F81223">
        <w:tblPrEx>
          <w:tblCellMar>
            <w:top w:w="0" w:type="dxa"/>
            <w:left w:w="108" w:type="dxa"/>
            <w:bottom w:w="0" w:type="dxa"/>
            <w:right w:w="108" w:type="dxa"/>
          </w:tblCellMar>
        </w:tblPrEx>
        <w:trPr>
          <w:trHeight w:val="516" w:hRule="atLeast"/>
          <w:jc w:val="center"/>
        </w:trPr>
        <w:tc>
          <w:tcPr>
            <w:tcW w:w="4748" w:type="dxa"/>
            <w:tcBorders>
              <w:top w:val="nil"/>
              <w:left w:val="single" w:color="auto" w:sz="12" w:space="0"/>
              <w:bottom w:val="nil"/>
              <w:right w:val="single" w:color="auto" w:sz="12" w:space="0"/>
            </w:tcBorders>
            <w:vAlign w:val="center"/>
          </w:tcPr>
          <w:p w14:paraId="50D66D8C">
            <w:pPr>
              <w:ind w:left="-17" w:leftChars="-8" w:firstLine="18" w:firstLineChars="9"/>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账号: 61001641208052501776</w:t>
            </w:r>
          </w:p>
        </w:tc>
        <w:tc>
          <w:tcPr>
            <w:tcW w:w="4553" w:type="dxa"/>
            <w:tcBorders>
              <w:top w:val="nil"/>
              <w:left w:val="nil"/>
              <w:bottom w:val="nil"/>
              <w:right w:val="single" w:color="auto" w:sz="12" w:space="0"/>
            </w:tcBorders>
            <w:vAlign w:val="center"/>
          </w:tcPr>
          <w:p w14:paraId="4D3561DC">
            <w:pPr>
              <w:ind w:left="-17" w:leftChars="-8" w:firstLine="18" w:firstLineChars="9"/>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账号:                   </w:t>
            </w:r>
          </w:p>
        </w:tc>
      </w:tr>
      <w:tr w14:paraId="68B0F688">
        <w:tblPrEx>
          <w:tblCellMar>
            <w:top w:w="0" w:type="dxa"/>
            <w:left w:w="108" w:type="dxa"/>
            <w:bottom w:w="0" w:type="dxa"/>
            <w:right w:w="108" w:type="dxa"/>
          </w:tblCellMar>
        </w:tblPrEx>
        <w:trPr>
          <w:trHeight w:val="557" w:hRule="atLeast"/>
          <w:jc w:val="center"/>
        </w:trPr>
        <w:tc>
          <w:tcPr>
            <w:tcW w:w="4748" w:type="dxa"/>
            <w:tcBorders>
              <w:top w:val="nil"/>
              <w:left w:val="single" w:color="auto" w:sz="12" w:space="0"/>
              <w:bottom w:val="single" w:color="auto" w:sz="12" w:space="0"/>
              <w:right w:val="single" w:color="auto" w:sz="12" w:space="0"/>
            </w:tcBorders>
            <w:vAlign w:val="center"/>
          </w:tcPr>
          <w:p w14:paraId="2EDC7AB2">
            <w:pPr>
              <w:ind w:left="-17" w:leftChars="-8" w:firstLine="18" w:firstLineChars="9"/>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日期：     年  月  日</w:t>
            </w:r>
          </w:p>
        </w:tc>
        <w:tc>
          <w:tcPr>
            <w:tcW w:w="4553" w:type="dxa"/>
            <w:tcBorders>
              <w:top w:val="nil"/>
              <w:left w:val="nil"/>
              <w:bottom w:val="single" w:color="auto" w:sz="12" w:space="0"/>
              <w:right w:val="single" w:color="auto" w:sz="12" w:space="0"/>
            </w:tcBorders>
            <w:vAlign w:val="center"/>
          </w:tcPr>
          <w:p w14:paraId="5B5BB80F">
            <w:pPr>
              <w:ind w:left="-17" w:leftChars="-8" w:firstLine="18" w:firstLineChars="9"/>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日期：              年  月   日</w:t>
            </w:r>
          </w:p>
        </w:tc>
      </w:tr>
    </w:tbl>
    <w:p w14:paraId="7FAC5F01">
      <w:pPr>
        <w:pStyle w:val="7"/>
        <w:rPr>
          <w:rFonts w:hint="eastAsia" w:ascii="仿宋" w:hAnsi="仿宋" w:eastAsia="仿宋" w:cs="仿宋"/>
          <w:color w:val="auto"/>
          <w:highlight w:val="none"/>
        </w:rPr>
      </w:pPr>
    </w:p>
    <w:p w14:paraId="453FC108">
      <w:pPr>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64F2AB2-D252-4EF8-9D7B-BA45AE06B41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embedRegular r:id="rId2" w:fontKey="{5C01A6F2-DE77-4670-88D7-24830AC238DF}"/>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322BF3"/>
    <w:multiLevelType w:val="multilevel"/>
    <w:tmpl w:val="0B322BF3"/>
    <w:lvl w:ilvl="0" w:tentative="0">
      <w:start w:val="9"/>
      <w:numFmt w:val="chineseCounting"/>
      <w:suff w:val="nothing"/>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0110FC"/>
    <w:rsid w:val="10D3688E"/>
    <w:rsid w:val="11970673"/>
    <w:rsid w:val="27344CEA"/>
    <w:rsid w:val="28986EB5"/>
    <w:rsid w:val="2A815465"/>
    <w:rsid w:val="2F454A95"/>
    <w:rsid w:val="3535491E"/>
    <w:rsid w:val="4BAB5215"/>
    <w:rsid w:val="79B50E11"/>
    <w:rsid w:val="7FF907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9"/>
    <w:pPr>
      <w:keepNext/>
      <w:keepLines/>
      <w:spacing w:before="280" w:after="290" w:line="376" w:lineRule="auto"/>
      <w:outlineLvl w:val="3"/>
    </w:pPr>
    <w:rPr>
      <w:rFonts w:ascii="等线 Light" w:hAnsi="等线 Light" w:eastAsia="等线 Light"/>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tabs>
        <w:tab w:val="left" w:pos="720"/>
      </w:tabs>
      <w:spacing w:line="0" w:lineRule="atLeast"/>
    </w:pPr>
    <w:rPr>
      <w:sz w:val="28"/>
    </w:rPr>
  </w:style>
  <w:style w:type="paragraph" w:styleId="4">
    <w:name w:val="Body Text Indent 2"/>
    <w:basedOn w:val="1"/>
    <w:qFormat/>
    <w:uiPriority w:val="0"/>
    <w:pPr>
      <w:keepNext w:val="0"/>
      <w:keepLines w:val="0"/>
      <w:widowControl w:val="0"/>
      <w:suppressLineNumbers w:val="0"/>
      <w:spacing w:before="0" w:beforeAutospacing="0" w:after="0" w:afterAutospacing="0" w:line="400" w:lineRule="exact"/>
      <w:ind w:left="0" w:right="0" w:firstLine="475" w:firstLineChars="198"/>
      <w:jc w:val="both"/>
    </w:pPr>
    <w:rPr>
      <w:rFonts w:hint="eastAsia" w:ascii="宋体" w:hAnsi="宋体" w:eastAsia="宋体" w:cs="Times New Roman"/>
      <w:kern w:val="2"/>
      <w:sz w:val="24"/>
      <w:szCs w:val="24"/>
      <w:lang w:val="en-US" w:eastAsia="zh-CN" w:bidi="ar"/>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character" w:customStyle="1" w:styleId="8">
    <w:name w:val="标题 1 Char"/>
    <w:qFormat/>
    <w:locked/>
    <w:uiPriority w:val="99"/>
    <w:rPr>
      <w:rFonts w:ascii="Calibri" w:hAnsi="Calibri" w:cs="Calibri"/>
      <w:b/>
      <w:bCs/>
      <w:kern w:val="44"/>
      <w:sz w:val="44"/>
      <w:szCs w:val="44"/>
    </w:rPr>
  </w:style>
  <w:style w:type="paragraph" w:customStyle="1" w:styleId="9">
    <w:name w:val="纯文本1"/>
    <w:basedOn w:val="1"/>
    <w:qFormat/>
    <w:uiPriority w:val="0"/>
    <w:rPr>
      <w:rFonts w:ascii="宋体" w:hAnsi="Courier New" w:eastAsia="宋体" w:cs="Times New Roman"/>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5130</Words>
  <Characters>5257</Characters>
  <Lines>0</Lines>
  <Paragraphs>0</Paragraphs>
  <TotalTime>3</TotalTime>
  <ScaleCrop>false</ScaleCrop>
  <LinksUpToDate>false</LinksUpToDate>
  <CharactersWithSpaces>5600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2024-11-26T03:04:00Z</dcterms:created>
  <dc:creator>lenovo</dc:creator>
  <cp:lastModifiedBy>侯@_@!</cp:lastModifiedBy>
  <dcterms:modified xsi:type="dcterms:W3CDTF">2026-07-01T02:43:34Z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052C56BAA3824F2582F5696CE2CA195F_12</vt:lpwstr>
  </property>
  <property fmtid="{D5CDD505-2E9C-101B-9397-08002B2CF9AE}" pid="4" name="KSOTemplateDocerSaveRecord">
    <vt:lpwstr>eyJoZGlkIjoiZWE2M2VmODljZjg2ZDZlNWY1NzAyZjk2YzUyNWViZTMiLCJ1c2VySWQiOiIyNjA2MTU2NDgifQ==</vt:lpwstr>
  </property>
</Properties>
</file>